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44"/>
        </w:rPr>
      </w:pPr>
    </w:p>
    <w:p>
      <w:pPr>
        <w:jc w:val="center"/>
        <w:rPr>
          <w:b/>
          <w:bCs/>
          <w:sz w:val="44"/>
        </w:rPr>
      </w:pPr>
    </w:p>
    <w:p>
      <w:pPr>
        <w:jc w:val="center"/>
        <w:rPr>
          <w:b/>
          <w:bCs/>
          <w:sz w:val="44"/>
        </w:rPr>
      </w:pPr>
    </w:p>
    <w:p>
      <w:pPr>
        <w:jc w:val="center"/>
        <w:rPr>
          <w:b/>
          <w:bCs/>
          <w:sz w:val="44"/>
        </w:rPr>
      </w:pPr>
    </w:p>
    <w:p>
      <w:pPr>
        <w:rPr>
          <w:rFonts w:ascii="黑体" w:hAnsi="黑体" w:eastAsia="黑体"/>
          <w:b/>
          <w:bCs/>
          <w:sz w:val="68"/>
          <w:szCs w:val="68"/>
        </w:rPr>
      </w:pPr>
      <w:r>
        <w:rPr>
          <w:rFonts w:hint="eastAsia" w:ascii="黑体" w:hAnsi="黑体" w:eastAsia="黑体"/>
          <w:b/>
          <w:bCs/>
          <w:sz w:val="68"/>
          <w:szCs w:val="68"/>
        </w:rPr>
        <w:t>江苏东方滤袋股份有限公司</w:t>
      </w:r>
    </w:p>
    <w:p>
      <w:pPr>
        <w:jc w:val="center"/>
        <w:rPr>
          <w:rFonts w:ascii="黑体" w:hAnsi="黑体" w:eastAsia="黑体"/>
          <w:b/>
          <w:bCs/>
          <w:sz w:val="72"/>
          <w:szCs w:val="72"/>
        </w:rPr>
      </w:pPr>
    </w:p>
    <w:p>
      <w:pPr>
        <w:jc w:val="center"/>
        <w:rPr>
          <w:rFonts w:ascii="黑体" w:hAnsi="黑体" w:eastAsia="黑体"/>
          <w:b/>
          <w:bCs/>
          <w:sz w:val="72"/>
          <w:szCs w:val="72"/>
        </w:rPr>
      </w:pPr>
      <w:r>
        <w:rPr>
          <w:rFonts w:ascii="黑体" w:hAnsi="黑体" w:eastAsia="黑体"/>
          <w:b/>
          <w:bCs/>
          <w:sz w:val="72"/>
          <w:szCs w:val="72"/>
        </w:rPr>
        <w:t>社会责任报告</w:t>
      </w:r>
    </w:p>
    <w:p>
      <w:pPr>
        <w:jc w:val="center"/>
        <w:rPr>
          <w:rFonts w:ascii="黑体" w:hAnsi="黑体" w:eastAsia="黑体"/>
          <w:b/>
          <w:sz w:val="52"/>
          <w:szCs w:val="52"/>
        </w:rPr>
      </w:pPr>
      <w:r>
        <w:rPr>
          <w:rFonts w:hint="eastAsia" w:ascii="黑体" w:hAnsi="黑体" w:eastAsia="黑体"/>
          <w:b/>
          <w:sz w:val="52"/>
          <w:szCs w:val="52"/>
        </w:rPr>
        <w:t>（2019年度）</w:t>
      </w:r>
    </w:p>
    <w:p>
      <w:pPr>
        <w:jc w:val="center"/>
        <w:rPr>
          <w:sz w:val="32"/>
          <w:szCs w:val="28"/>
        </w:rPr>
      </w:pPr>
    </w:p>
    <w:p>
      <w:pPr>
        <w:jc w:val="center"/>
        <w:rPr>
          <w:sz w:val="32"/>
          <w:szCs w:val="28"/>
        </w:rPr>
      </w:pPr>
    </w:p>
    <w:p>
      <w:pPr>
        <w:jc w:val="center"/>
        <w:rPr>
          <w:sz w:val="32"/>
          <w:szCs w:val="28"/>
        </w:rPr>
      </w:pPr>
    </w:p>
    <w:p>
      <w:pPr>
        <w:jc w:val="center"/>
        <w:rPr>
          <w:sz w:val="32"/>
          <w:szCs w:val="28"/>
        </w:rPr>
      </w:pPr>
    </w:p>
    <w:p>
      <w:pPr>
        <w:jc w:val="center"/>
        <w:rPr>
          <w:sz w:val="32"/>
          <w:szCs w:val="28"/>
        </w:rPr>
      </w:pPr>
    </w:p>
    <w:p>
      <w:pPr>
        <w:jc w:val="center"/>
        <w:rPr>
          <w:sz w:val="32"/>
          <w:szCs w:val="28"/>
        </w:rPr>
      </w:pPr>
    </w:p>
    <w:p>
      <w:pPr>
        <w:jc w:val="center"/>
        <w:rPr>
          <w:sz w:val="32"/>
          <w:szCs w:val="28"/>
        </w:rPr>
      </w:pPr>
    </w:p>
    <w:p>
      <w:pPr>
        <w:jc w:val="center"/>
        <w:rPr>
          <w:sz w:val="32"/>
          <w:szCs w:val="28"/>
        </w:rPr>
      </w:pPr>
    </w:p>
    <w:p>
      <w:pPr>
        <w:jc w:val="center"/>
        <w:rPr>
          <w:sz w:val="32"/>
          <w:szCs w:val="28"/>
        </w:rPr>
      </w:pPr>
    </w:p>
    <w:p>
      <w:pPr>
        <w:jc w:val="center"/>
        <w:rPr>
          <w:b/>
          <w:sz w:val="32"/>
          <w:szCs w:val="28"/>
        </w:rPr>
      </w:pPr>
      <w:r>
        <w:rPr>
          <w:rFonts w:hint="eastAsia"/>
          <w:b/>
          <w:sz w:val="32"/>
          <w:szCs w:val="28"/>
        </w:rPr>
        <w:t>2020年3月10日</w:t>
      </w:r>
    </w:p>
    <w:p>
      <w:pPr>
        <w:jc w:val="center"/>
        <w:rPr>
          <w:sz w:val="32"/>
          <w:szCs w:val="28"/>
        </w:rPr>
      </w:pPr>
    </w:p>
    <w:p>
      <w:pPr>
        <w:jc w:val="center"/>
        <w:rPr>
          <w:sz w:val="32"/>
          <w:szCs w:val="28"/>
        </w:rPr>
      </w:pPr>
    </w:p>
    <w:p>
      <w:pPr>
        <w:pStyle w:val="3"/>
      </w:pPr>
      <w:bookmarkStart w:id="0" w:name="_Toc38876044"/>
      <w:bookmarkStart w:id="1" w:name="_Toc38875799"/>
      <w:r>
        <w:rPr>
          <w:rFonts w:hint="eastAsia"/>
        </w:rPr>
        <w:t>报告概述</w:t>
      </w:r>
      <w:bookmarkEnd w:id="0"/>
      <w:bookmarkEnd w:id="1"/>
    </w:p>
    <w:p>
      <w:pPr>
        <w:ind w:firstLine="560" w:firstLineChars="200"/>
        <w:rPr>
          <w:rFonts w:ascii="宋体" w:hAnsi="宋体"/>
          <w:sz w:val="28"/>
          <w:szCs w:val="22"/>
        </w:rPr>
      </w:pPr>
      <w:r>
        <w:rPr>
          <w:rFonts w:hint="eastAsia" w:ascii="宋体" w:hAnsi="宋体"/>
          <w:sz w:val="28"/>
          <w:szCs w:val="22"/>
        </w:rPr>
        <w:t>此报告为江苏东方滤袋股份有限公司第一份对外公开发布的《社会责任报告》。 本报告参照GRI（</w:t>
      </w:r>
      <w:r>
        <w:rPr>
          <w:rFonts w:ascii="宋体" w:hAnsi="宋体"/>
          <w:sz w:val="28"/>
          <w:szCs w:val="22"/>
        </w:rPr>
        <w:t>全球报告倡议组织</w:t>
      </w:r>
      <w:r>
        <w:rPr>
          <w:rFonts w:hint="eastAsia" w:ascii="宋体" w:hAnsi="宋体"/>
          <w:sz w:val="28"/>
          <w:szCs w:val="22"/>
        </w:rPr>
        <w:t xml:space="preserve">）《可持续发展报告指南》（G3版）、中国社科院《中国企业社会责任报告编写指南》，并结合东方滤袋对社会责任的独特理解和公司的具体实践编写而成。 </w:t>
      </w:r>
    </w:p>
    <w:p>
      <w:pPr>
        <w:pStyle w:val="3"/>
      </w:pPr>
      <w:bookmarkStart w:id="2" w:name="_Toc38876045"/>
      <w:bookmarkStart w:id="3" w:name="_Toc38875800"/>
      <w:r>
        <w:rPr>
          <w:rFonts w:hint="eastAsia"/>
        </w:rPr>
        <w:t>报告范围</w:t>
      </w:r>
      <w:bookmarkEnd w:id="2"/>
      <w:bookmarkEnd w:id="3"/>
    </w:p>
    <w:p>
      <w:pPr>
        <w:ind w:firstLine="560" w:firstLineChars="200"/>
        <w:rPr>
          <w:rFonts w:ascii="宋体" w:hAnsi="宋体"/>
          <w:sz w:val="28"/>
          <w:szCs w:val="22"/>
        </w:rPr>
      </w:pPr>
      <w:r>
        <w:rPr>
          <w:rFonts w:hint="eastAsia" w:ascii="宋体" w:hAnsi="宋体"/>
          <w:sz w:val="28"/>
          <w:szCs w:val="22"/>
        </w:rPr>
        <w:t xml:space="preserve">除非有特殊说明，本报告主要描述2019年1月1日至20119年12月31日期间，在公司运营、内控管理、发展规划、供应链、人才建设等方面的工作，报告内容涵盖了公司无纺布、针刺毡、袋笼及除尘器制造在营业务。 </w:t>
      </w:r>
    </w:p>
    <w:p>
      <w:pPr>
        <w:autoSpaceDN w:val="0"/>
        <w:spacing w:before="150" w:after="150" w:line="378" w:lineRule="atLeast"/>
        <w:rPr>
          <w:rFonts w:ascii="宋体" w:hAnsi="宋体"/>
          <w:sz w:val="24"/>
          <w:szCs w:val="21"/>
        </w:rPr>
      </w:pPr>
    </w:p>
    <w:p>
      <w:pPr>
        <w:ind w:firstLine="560" w:firstLineChars="200"/>
        <w:rPr>
          <w:rFonts w:ascii="宋体" w:hAnsi="宋体"/>
          <w:sz w:val="28"/>
          <w:szCs w:val="22"/>
        </w:rPr>
      </w:pPr>
      <w:r>
        <w:rPr>
          <w:rFonts w:hint="eastAsia" w:ascii="宋体" w:hAnsi="宋体"/>
          <w:sz w:val="28"/>
          <w:szCs w:val="22"/>
        </w:rPr>
        <w:t>江苏东方滤袋股份有限公司</w:t>
      </w:r>
    </w:p>
    <w:p>
      <w:pPr>
        <w:ind w:firstLine="560" w:firstLineChars="200"/>
        <w:rPr>
          <w:rFonts w:ascii="宋体" w:hAnsi="宋体"/>
          <w:sz w:val="28"/>
          <w:szCs w:val="22"/>
        </w:rPr>
      </w:pPr>
      <w:r>
        <w:rPr>
          <w:rFonts w:hint="eastAsia" w:ascii="宋体" w:hAnsi="宋体"/>
          <w:sz w:val="28"/>
          <w:szCs w:val="22"/>
        </w:rPr>
        <w:t xml:space="preserve">中国 江苏省 </w:t>
      </w:r>
    </w:p>
    <w:p>
      <w:pPr>
        <w:ind w:firstLine="560" w:firstLineChars="200"/>
        <w:rPr>
          <w:rFonts w:ascii="宋体" w:hAnsi="宋体"/>
          <w:sz w:val="28"/>
          <w:szCs w:val="22"/>
        </w:rPr>
      </w:pPr>
      <w:r>
        <w:rPr>
          <w:rFonts w:hint="eastAsia" w:ascii="宋体" w:hAnsi="宋体"/>
          <w:sz w:val="28"/>
          <w:szCs w:val="22"/>
        </w:rPr>
        <w:t>邮政编码：224400</w:t>
      </w:r>
    </w:p>
    <w:p>
      <w:pPr>
        <w:ind w:firstLine="560" w:firstLineChars="200"/>
        <w:rPr>
          <w:rFonts w:ascii="宋体" w:hAnsi="宋体"/>
          <w:sz w:val="28"/>
          <w:szCs w:val="22"/>
        </w:rPr>
      </w:pPr>
      <w:r>
        <w:rPr>
          <w:rFonts w:hint="eastAsia" w:ascii="宋体" w:hAnsi="宋体"/>
          <w:sz w:val="28"/>
          <w:szCs w:val="22"/>
        </w:rPr>
        <w:t>电话：0515-87398811</w:t>
      </w:r>
    </w:p>
    <w:p>
      <w:pPr>
        <w:ind w:firstLine="560" w:firstLineChars="200"/>
        <w:rPr>
          <w:rFonts w:ascii="宋体" w:hAnsi="宋体"/>
          <w:sz w:val="28"/>
          <w:szCs w:val="22"/>
        </w:rPr>
      </w:pPr>
      <w:r>
        <w:rPr>
          <w:rFonts w:hint="eastAsia" w:ascii="宋体" w:hAnsi="宋体"/>
          <w:sz w:val="28"/>
          <w:szCs w:val="22"/>
        </w:rPr>
        <w:t>传真：0515-87396611</w:t>
      </w:r>
    </w:p>
    <w:p>
      <w:pPr>
        <w:ind w:firstLine="560" w:firstLineChars="200"/>
        <w:rPr>
          <w:rFonts w:ascii="宋体" w:hAnsi="宋体"/>
          <w:sz w:val="28"/>
          <w:szCs w:val="22"/>
        </w:rPr>
      </w:pPr>
      <w:r>
        <w:rPr>
          <w:rFonts w:hint="eastAsia" w:ascii="宋体" w:hAnsi="宋体"/>
          <w:sz w:val="28"/>
          <w:szCs w:val="22"/>
        </w:rPr>
        <w:t>电子邮件：jsdfld@163.com</w:t>
      </w:r>
    </w:p>
    <w:p>
      <w:pPr>
        <w:autoSpaceDN w:val="0"/>
        <w:spacing w:before="150" w:after="150" w:line="378" w:lineRule="atLeast"/>
        <w:rPr>
          <w:rFonts w:ascii="宋体" w:hAnsi="宋体"/>
          <w:sz w:val="24"/>
          <w:szCs w:val="21"/>
        </w:rPr>
      </w:pPr>
    </w:p>
    <w:p>
      <w:pPr>
        <w:autoSpaceDN w:val="0"/>
        <w:spacing w:before="150" w:after="150" w:line="378" w:lineRule="atLeast"/>
        <w:rPr>
          <w:rFonts w:ascii="宋体" w:hAnsi="宋体"/>
          <w:sz w:val="24"/>
          <w:szCs w:val="21"/>
        </w:rPr>
      </w:pPr>
    </w:p>
    <w:p>
      <w:pPr>
        <w:autoSpaceDN w:val="0"/>
        <w:spacing w:before="150" w:after="150" w:line="378" w:lineRule="atLeast"/>
        <w:rPr>
          <w:rFonts w:ascii="宋体" w:hAnsi="宋体"/>
          <w:sz w:val="24"/>
          <w:szCs w:val="21"/>
        </w:rPr>
      </w:pPr>
    </w:p>
    <w:p>
      <w:pPr>
        <w:pStyle w:val="3"/>
        <w:jc w:val="center"/>
        <w:sectPr>
          <w:footerReference r:id="rId5" w:type="default"/>
          <w:pgSz w:w="11906" w:h="16838"/>
          <w:pgMar w:top="1440" w:right="1800" w:bottom="1440" w:left="1800" w:header="851" w:footer="992" w:gutter="0"/>
          <w:cols w:space="720" w:num="1"/>
          <w:docGrid w:type="lines" w:linePitch="312" w:charSpace="0"/>
        </w:sectPr>
      </w:pPr>
    </w:p>
    <w:p>
      <w:pPr>
        <w:pStyle w:val="3"/>
        <w:jc w:val="center"/>
        <w:rPr>
          <w:sz w:val="28"/>
          <w:szCs w:val="28"/>
        </w:rPr>
      </w:pPr>
      <w:bookmarkStart w:id="4" w:name="_Toc38875801"/>
      <w:bookmarkStart w:id="5" w:name="_Toc38876046"/>
      <w:r>
        <w:rPr>
          <w:rFonts w:hint="eastAsia"/>
        </w:rPr>
        <w:t>目  录</w:t>
      </w:r>
      <w:bookmarkEnd w:id="4"/>
      <w:bookmarkEnd w:id="5"/>
      <w:r>
        <w:rPr>
          <w:rFonts w:hint="eastAsia"/>
          <w:sz w:val="28"/>
          <w:szCs w:val="28"/>
        </w:rPr>
        <w:fldChar w:fldCharType="begin"/>
      </w:r>
      <w:r>
        <w:rPr>
          <w:rFonts w:hint="eastAsia"/>
          <w:sz w:val="28"/>
          <w:szCs w:val="28"/>
        </w:rPr>
        <w:instrText xml:space="preserve">TOC \o "1-3" \h  \u </w:instrText>
      </w:r>
      <w:r>
        <w:rPr>
          <w:rFonts w:hint="eastAsia"/>
          <w:sz w:val="28"/>
          <w:szCs w:val="28"/>
        </w:rPr>
        <w:fldChar w:fldCharType="separate"/>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"_Toc38876047" </w:instrText>
      </w:r>
      <w:r>
        <w:fldChar w:fldCharType="separate"/>
      </w:r>
      <w:r>
        <w:rPr>
          <w:rStyle w:val="21"/>
          <w:rFonts w:hint="eastAsia"/>
          <w:sz w:val="28"/>
          <w:szCs w:val="28"/>
        </w:rPr>
        <w:t>一、公司简介：</w:t>
      </w:r>
      <w:r>
        <w:rPr>
          <w:sz w:val="28"/>
          <w:szCs w:val="28"/>
        </w:rPr>
        <w:tab/>
      </w:r>
      <w:r>
        <w:rPr>
          <w:sz w:val="28"/>
          <w:szCs w:val="28"/>
        </w:rPr>
        <w:fldChar w:fldCharType="begin"/>
      </w:r>
      <w:r>
        <w:rPr>
          <w:sz w:val="28"/>
          <w:szCs w:val="28"/>
        </w:rPr>
        <w:instrText xml:space="preserve"> PAGEREF _Toc38876047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"_Toc38876048" </w:instrText>
      </w:r>
      <w:r>
        <w:fldChar w:fldCharType="separate"/>
      </w:r>
      <w:r>
        <w:rPr>
          <w:rStyle w:val="21"/>
          <w:rFonts w:hint="eastAsia"/>
          <w:sz w:val="28"/>
          <w:szCs w:val="28"/>
        </w:rPr>
        <w:t>二、经营状况：</w:t>
      </w:r>
      <w:r>
        <w:rPr>
          <w:sz w:val="28"/>
          <w:szCs w:val="28"/>
        </w:rPr>
        <w:tab/>
      </w:r>
      <w:r>
        <w:rPr>
          <w:sz w:val="28"/>
          <w:szCs w:val="28"/>
        </w:rPr>
        <w:fldChar w:fldCharType="begin"/>
      </w:r>
      <w:r>
        <w:rPr>
          <w:sz w:val="28"/>
          <w:szCs w:val="28"/>
        </w:rPr>
        <w:instrText xml:space="preserve"> PAGEREF _Toc38876048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"_Toc38876049" </w:instrText>
      </w:r>
      <w:r>
        <w:fldChar w:fldCharType="separate"/>
      </w:r>
      <w:r>
        <w:rPr>
          <w:rStyle w:val="21"/>
          <w:rFonts w:hint="eastAsia"/>
          <w:sz w:val="28"/>
          <w:szCs w:val="28"/>
        </w:rPr>
        <w:t>三、组织架构图</w:t>
      </w:r>
      <w:r>
        <w:rPr>
          <w:rStyle w:val="21"/>
          <w:sz w:val="28"/>
          <w:szCs w:val="28"/>
        </w:rPr>
        <w:t>:</w:t>
      </w:r>
      <w:r>
        <w:rPr>
          <w:sz w:val="28"/>
          <w:szCs w:val="28"/>
        </w:rPr>
        <w:tab/>
      </w:r>
      <w:r>
        <w:rPr>
          <w:sz w:val="28"/>
          <w:szCs w:val="28"/>
        </w:rPr>
        <w:fldChar w:fldCharType="begin"/>
      </w:r>
      <w:r>
        <w:rPr>
          <w:sz w:val="28"/>
          <w:szCs w:val="28"/>
        </w:rPr>
        <w:instrText xml:space="preserve"> PAGEREF _Toc38876049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"_Toc38876050" </w:instrText>
      </w:r>
      <w:r>
        <w:fldChar w:fldCharType="separate"/>
      </w:r>
      <w:r>
        <w:rPr>
          <w:rStyle w:val="21"/>
          <w:rFonts w:hint="eastAsia"/>
          <w:sz w:val="28"/>
          <w:szCs w:val="28"/>
        </w:rPr>
        <w:t>四、技术创新</w:t>
      </w:r>
      <w:r>
        <w:rPr>
          <w:sz w:val="28"/>
          <w:szCs w:val="28"/>
        </w:rPr>
        <w:tab/>
      </w:r>
      <w:r>
        <w:rPr>
          <w:sz w:val="28"/>
          <w:szCs w:val="28"/>
        </w:rPr>
        <w:fldChar w:fldCharType="begin"/>
      </w:r>
      <w:r>
        <w:rPr>
          <w:sz w:val="28"/>
          <w:szCs w:val="28"/>
        </w:rPr>
        <w:instrText xml:space="preserve"> PAGEREF _Toc38876050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"_Toc38876051" </w:instrText>
      </w:r>
      <w:r>
        <w:fldChar w:fldCharType="separate"/>
      </w:r>
      <w:r>
        <w:rPr>
          <w:rStyle w:val="21"/>
          <w:rFonts w:hint="eastAsia"/>
          <w:sz w:val="28"/>
          <w:szCs w:val="28"/>
        </w:rPr>
        <w:t>五、信用建设</w:t>
      </w:r>
      <w:r>
        <w:rPr>
          <w:sz w:val="28"/>
          <w:szCs w:val="28"/>
        </w:rPr>
        <w:tab/>
      </w:r>
      <w:r>
        <w:rPr>
          <w:sz w:val="28"/>
          <w:szCs w:val="28"/>
        </w:rPr>
        <w:fldChar w:fldCharType="begin"/>
      </w:r>
      <w:r>
        <w:rPr>
          <w:sz w:val="28"/>
          <w:szCs w:val="28"/>
        </w:rPr>
        <w:instrText xml:space="preserve"> PAGEREF _Toc38876051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"_Toc38876052" </w:instrText>
      </w:r>
      <w:r>
        <w:fldChar w:fldCharType="separate"/>
      </w:r>
      <w:r>
        <w:rPr>
          <w:rStyle w:val="21"/>
          <w:rFonts w:hint="eastAsia"/>
          <w:sz w:val="28"/>
          <w:szCs w:val="28"/>
        </w:rPr>
        <w:t>六、环保节约</w:t>
      </w:r>
      <w:r>
        <w:rPr>
          <w:sz w:val="28"/>
          <w:szCs w:val="28"/>
        </w:rPr>
        <w:tab/>
      </w:r>
      <w:r>
        <w:rPr>
          <w:sz w:val="28"/>
          <w:szCs w:val="28"/>
        </w:rPr>
        <w:fldChar w:fldCharType="begin"/>
      </w:r>
      <w:r>
        <w:rPr>
          <w:sz w:val="28"/>
          <w:szCs w:val="28"/>
        </w:rPr>
        <w:instrText xml:space="preserve"> PAGEREF _Toc38876052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"_Toc38876053" </w:instrText>
      </w:r>
      <w:r>
        <w:fldChar w:fldCharType="separate"/>
      </w:r>
      <w:r>
        <w:rPr>
          <w:rStyle w:val="21"/>
          <w:sz w:val="28"/>
          <w:szCs w:val="28"/>
        </w:rPr>
        <w:t>1</w:t>
      </w:r>
      <w:r>
        <w:rPr>
          <w:rStyle w:val="21"/>
          <w:rFonts w:hint="eastAsia"/>
          <w:sz w:val="28"/>
          <w:szCs w:val="28"/>
        </w:rPr>
        <w:t>、环境管理</w:t>
      </w:r>
      <w:r>
        <w:rPr>
          <w:sz w:val="28"/>
          <w:szCs w:val="28"/>
        </w:rPr>
        <w:tab/>
      </w:r>
      <w:r>
        <w:rPr>
          <w:sz w:val="28"/>
          <w:szCs w:val="28"/>
        </w:rPr>
        <w:fldChar w:fldCharType="begin"/>
      </w:r>
      <w:r>
        <w:rPr>
          <w:sz w:val="28"/>
          <w:szCs w:val="28"/>
        </w:rPr>
        <w:instrText xml:space="preserve"> PAGEREF _Toc38876053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"_Toc38876054" </w:instrText>
      </w:r>
      <w:r>
        <w:fldChar w:fldCharType="separate"/>
      </w:r>
      <w:r>
        <w:rPr>
          <w:rStyle w:val="21"/>
          <w:sz w:val="28"/>
          <w:szCs w:val="28"/>
        </w:rPr>
        <w:t>2</w:t>
      </w:r>
      <w:r>
        <w:rPr>
          <w:rStyle w:val="21"/>
          <w:rFonts w:hint="eastAsia"/>
          <w:sz w:val="28"/>
          <w:szCs w:val="28"/>
        </w:rPr>
        <w:t>、资源节约与综合利用</w:t>
      </w:r>
      <w:r>
        <w:rPr>
          <w:sz w:val="28"/>
          <w:szCs w:val="28"/>
        </w:rPr>
        <w:tab/>
      </w:r>
      <w:r>
        <w:rPr>
          <w:sz w:val="28"/>
          <w:szCs w:val="28"/>
        </w:rPr>
        <w:fldChar w:fldCharType="begin"/>
      </w:r>
      <w:r>
        <w:rPr>
          <w:sz w:val="28"/>
          <w:szCs w:val="28"/>
        </w:rPr>
        <w:instrText xml:space="preserve"> PAGEREF _Toc38876054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"_Toc38876055" </w:instrText>
      </w:r>
      <w:r>
        <w:fldChar w:fldCharType="separate"/>
      </w:r>
      <w:r>
        <w:rPr>
          <w:rStyle w:val="21"/>
          <w:rFonts w:hint="eastAsia"/>
          <w:sz w:val="28"/>
          <w:szCs w:val="28"/>
        </w:rPr>
        <w:t>七、安全生产</w:t>
      </w:r>
      <w:r>
        <w:rPr>
          <w:sz w:val="28"/>
          <w:szCs w:val="28"/>
        </w:rPr>
        <w:tab/>
      </w:r>
      <w:r>
        <w:rPr>
          <w:sz w:val="28"/>
          <w:szCs w:val="28"/>
        </w:rPr>
        <w:fldChar w:fldCharType="begin"/>
      </w:r>
      <w:r>
        <w:rPr>
          <w:sz w:val="28"/>
          <w:szCs w:val="28"/>
        </w:rPr>
        <w:instrText xml:space="preserve"> PAGEREF _Toc38876055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"_Toc38876056" </w:instrText>
      </w:r>
      <w:r>
        <w:fldChar w:fldCharType="separate"/>
      </w:r>
      <w:r>
        <w:rPr>
          <w:rStyle w:val="21"/>
          <w:sz w:val="28"/>
          <w:szCs w:val="28"/>
        </w:rPr>
        <w:t>1</w:t>
      </w:r>
      <w:r>
        <w:rPr>
          <w:rStyle w:val="21"/>
          <w:rFonts w:hint="eastAsia"/>
          <w:sz w:val="28"/>
          <w:szCs w:val="28"/>
        </w:rPr>
        <w:t>、安全生产管理</w:t>
      </w:r>
      <w:r>
        <w:rPr>
          <w:sz w:val="28"/>
          <w:szCs w:val="28"/>
        </w:rPr>
        <w:tab/>
      </w:r>
      <w:r>
        <w:rPr>
          <w:sz w:val="28"/>
          <w:szCs w:val="28"/>
        </w:rPr>
        <w:fldChar w:fldCharType="begin"/>
      </w:r>
      <w:r>
        <w:rPr>
          <w:sz w:val="28"/>
          <w:szCs w:val="28"/>
        </w:rPr>
        <w:instrText xml:space="preserve"> PAGEREF _Toc38876056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"_Toc38876057" </w:instrText>
      </w:r>
      <w:r>
        <w:fldChar w:fldCharType="separate"/>
      </w:r>
      <w:r>
        <w:rPr>
          <w:rStyle w:val="21"/>
          <w:sz w:val="28"/>
          <w:szCs w:val="28"/>
        </w:rPr>
        <w:t>2</w:t>
      </w:r>
      <w:r>
        <w:rPr>
          <w:rStyle w:val="21"/>
          <w:rFonts w:hint="eastAsia"/>
          <w:sz w:val="28"/>
          <w:szCs w:val="28"/>
        </w:rPr>
        <w:t>、安全生产投入</w:t>
      </w:r>
      <w:r>
        <w:rPr>
          <w:sz w:val="28"/>
          <w:szCs w:val="28"/>
        </w:rPr>
        <w:tab/>
      </w:r>
      <w:r>
        <w:rPr>
          <w:sz w:val="28"/>
          <w:szCs w:val="28"/>
        </w:rPr>
        <w:fldChar w:fldCharType="begin"/>
      </w:r>
      <w:r>
        <w:rPr>
          <w:sz w:val="28"/>
          <w:szCs w:val="28"/>
        </w:rPr>
        <w:instrText xml:space="preserve"> PAGEREF _Toc38876057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"_Toc38876058" </w:instrText>
      </w:r>
      <w:r>
        <w:fldChar w:fldCharType="separate"/>
      </w:r>
      <w:r>
        <w:rPr>
          <w:rStyle w:val="21"/>
          <w:sz w:val="28"/>
          <w:szCs w:val="28"/>
        </w:rPr>
        <w:t>3</w:t>
      </w:r>
      <w:r>
        <w:rPr>
          <w:rStyle w:val="21"/>
          <w:rFonts w:hint="eastAsia"/>
          <w:sz w:val="28"/>
          <w:szCs w:val="28"/>
        </w:rPr>
        <w:t>、安全生产教育和培训</w:t>
      </w:r>
      <w:r>
        <w:rPr>
          <w:sz w:val="28"/>
          <w:szCs w:val="28"/>
        </w:rPr>
        <w:tab/>
      </w:r>
      <w:r>
        <w:rPr>
          <w:sz w:val="28"/>
          <w:szCs w:val="28"/>
        </w:rPr>
        <w:fldChar w:fldCharType="begin"/>
      </w:r>
      <w:r>
        <w:rPr>
          <w:sz w:val="28"/>
          <w:szCs w:val="28"/>
        </w:rPr>
        <w:instrText xml:space="preserve"> PAGEREF _Toc38876058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"_Toc38876059" </w:instrText>
      </w:r>
      <w:r>
        <w:fldChar w:fldCharType="separate"/>
      </w:r>
      <w:r>
        <w:rPr>
          <w:rStyle w:val="21"/>
          <w:rFonts w:hint="eastAsia"/>
          <w:sz w:val="28"/>
          <w:szCs w:val="28"/>
        </w:rPr>
        <w:t>八、员工</w:t>
      </w:r>
      <w:r>
        <w:rPr>
          <w:sz w:val="28"/>
          <w:szCs w:val="28"/>
        </w:rPr>
        <w:tab/>
      </w:r>
      <w:r>
        <w:rPr>
          <w:sz w:val="28"/>
          <w:szCs w:val="28"/>
        </w:rPr>
        <w:fldChar w:fldCharType="begin"/>
      </w:r>
      <w:r>
        <w:rPr>
          <w:sz w:val="28"/>
          <w:szCs w:val="28"/>
        </w:rPr>
        <w:instrText xml:space="preserve"> PAGEREF _Toc38876059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"_Toc38876060" </w:instrText>
      </w:r>
      <w:r>
        <w:fldChar w:fldCharType="separate"/>
      </w:r>
      <w:r>
        <w:rPr>
          <w:rStyle w:val="21"/>
          <w:sz w:val="28"/>
          <w:szCs w:val="28"/>
        </w:rPr>
        <w:t>1</w:t>
      </w:r>
      <w:r>
        <w:rPr>
          <w:rStyle w:val="21"/>
          <w:rFonts w:hint="eastAsia"/>
          <w:sz w:val="28"/>
          <w:szCs w:val="28"/>
        </w:rPr>
        <w:t>、劳动合同与薪酬</w:t>
      </w:r>
      <w:r>
        <w:rPr>
          <w:sz w:val="28"/>
          <w:szCs w:val="28"/>
        </w:rPr>
        <w:tab/>
      </w:r>
      <w:r>
        <w:rPr>
          <w:sz w:val="28"/>
          <w:szCs w:val="28"/>
        </w:rPr>
        <w:fldChar w:fldCharType="begin"/>
      </w:r>
      <w:r>
        <w:rPr>
          <w:sz w:val="28"/>
          <w:szCs w:val="28"/>
        </w:rPr>
        <w:instrText xml:space="preserve"> PAGEREF _Toc38876060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"_Toc38876061" </w:instrText>
      </w:r>
      <w:r>
        <w:fldChar w:fldCharType="separate"/>
      </w:r>
      <w:r>
        <w:rPr>
          <w:rStyle w:val="21"/>
          <w:sz w:val="28"/>
          <w:szCs w:val="28"/>
        </w:rPr>
        <w:t>2</w:t>
      </w:r>
      <w:r>
        <w:rPr>
          <w:rStyle w:val="21"/>
          <w:rFonts w:hint="eastAsia"/>
          <w:sz w:val="28"/>
          <w:szCs w:val="28"/>
        </w:rPr>
        <w:t>、社会保障</w:t>
      </w:r>
      <w:r>
        <w:rPr>
          <w:sz w:val="28"/>
          <w:szCs w:val="28"/>
        </w:rPr>
        <w:tab/>
      </w:r>
      <w:r>
        <w:rPr>
          <w:sz w:val="28"/>
          <w:szCs w:val="28"/>
        </w:rPr>
        <w:fldChar w:fldCharType="begin"/>
      </w:r>
      <w:r>
        <w:rPr>
          <w:sz w:val="28"/>
          <w:szCs w:val="28"/>
        </w:rPr>
        <w:instrText xml:space="preserve"> PAGEREF _Toc38876061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"_Toc38876062" </w:instrText>
      </w:r>
      <w:r>
        <w:fldChar w:fldCharType="separate"/>
      </w:r>
      <w:r>
        <w:rPr>
          <w:rStyle w:val="21"/>
          <w:sz w:val="28"/>
          <w:szCs w:val="28"/>
        </w:rPr>
        <w:t>3</w:t>
      </w:r>
      <w:r>
        <w:rPr>
          <w:rStyle w:val="21"/>
          <w:rFonts w:hint="eastAsia"/>
          <w:sz w:val="28"/>
          <w:szCs w:val="28"/>
        </w:rPr>
        <w:t>、员工福利</w:t>
      </w:r>
      <w:r>
        <w:rPr>
          <w:sz w:val="28"/>
          <w:szCs w:val="28"/>
        </w:rPr>
        <w:tab/>
      </w:r>
      <w:r>
        <w:rPr>
          <w:sz w:val="28"/>
          <w:szCs w:val="28"/>
        </w:rPr>
        <w:fldChar w:fldCharType="begin"/>
      </w:r>
      <w:r>
        <w:rPr>
          <w:sz w:val="28"/>
          <w:szCs w:val="28"/>
        </w:rPr>
        <w:instrText xml:space="preserve"> PAGEREF _Toc38876062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"_Toc38876063" </w:instrText>
      </w:r>
      <w:r>
        <w:fldChar w:fldCharType="separate"/>
      </w:r>
      <w:r>
        <w:rPr>
          <w:rStyle w:val="21"/>
          <w:sz w:val="28"/>
          <w:szCs w:val="28"/>
        </w:rPr>
        <w:t>4</w:t>
      </w:r>
      <w:r>
        <w:rPr>
          <w:rStyle w:val="21"/>
          <w:rFonts w:hint="eastAsia"/>
          <w:sz w:val="28"/>
          <w:szCs w:val="28"/>
        </w:rPr>
        <w:t>、职业健康安全</w:t>
      </w:r>
      <w:r>
        <w:rPr>
          <w:sz w:val="28"/>
          <w:szCs w:val="28"/>
        </w:rPr>
        <w:tab/>
      </w:r>
      <w:r>
        <w:rPr>
          <w:sz w:val="28"/>
          <w:szCs w:val="28"/>
        </w:rPr>
        <w:fldChar w:fldCharType="begin"/>
      </w:r>
      <w:r>
        <w:rPr>
          <w:sz w:val="28"/>
          <w:szCs w:val="28"/>
        </w:rPr>
        <w:instrText xml:space="preserve"> PAGEREF _Toc38876063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"_Toc38876064" </w:instrText>
      </w:r>
      <w:r>
        <w:fldChar w:fldCharType="separate"/>
      </w:r>
      <w:r>
        <w:rPr>
          <w:rStyle w:val="21"/>
          <w:sz w:val="28"/>
          <w:szCs w:val="28"/>
        </w:rPr>
        <w:t>5</w:t>
      </w:r>
      <w:r>
        <w:rPr>
          <w:rStyle w:val="21"/>
          <w:rFonts w:hint="eastAsia"/>
          <w:sz w:val="28"/>
          <w:szCs w:val="28"/>
        </w:rPr>
        <w:t>、民主管理</w:t>
      </w:r>
      <w:r>
        <w:rPr>
          <w:sz w:val="28"/>
          <w:szCs w:val="28"/>
        </w:rPr>
        <w:tab/>
      </w:r>
      <w:r>
        <w:rPr>
          <w:sz w:val="28"/>
          <w:szCs w:val="28"/>
        </w:rPr>
        <w:fldChar w:fldCharType="begin"/>
      </w:r>
      <w:r>
        <w:rPr>
          <w:sz w:val="28"/>
          <w:szCs w:val="28"/>
        </w:rPr>
        <w:instrText xml:space="preserve"> PAGEREF _Toc38876064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296"/>
        </w:tabs>
        <w:rPr>
          <w:rFonts w:asciiTheme="minorHAnsi" w:hAnsiTheme="minorHAnsi" w:eastAsiaTheme="minorEastAsia" w:cstheme="minorBidi"/>
          <w:sz w:val="28"/>
          <w:szCs w:val="28"/>
        </w:rPr>
      </w:pPr>
      <w:r>
        <w:fldChar w:fldCharType="begin"/>
      </w:r>
      <w:r>
        <w:instrText xml:space="preserve"> HYPERLINK \l "_Toc38876065" </w:instrText>
      </w:r>
      <w:r>
        <w:fldChar w:fldCharType="separate"/>
      </w:r>
      <w:r>
        <w:rPr>
          <w:rStyle w:val="21"/>
          <w:sz w:val="28"/>
          <w:szCs w:val="28"/>
        </w:rPr>
        <w:t>6</w:t>
      </w:r>
      <w:r>
        <w:rPr>
          <w:rStyle w:val="21"/>
          <w:rFonts w:hint="eastAsia"/>
          <w:sz w:val="28"/>
          <w:szCs w:val="28"/>
        </w:rPr>
        <w:t>、员工培训和发展</w:t>
      </w:r>
      <w:r>
        <w:rPr>
          <w:sz w:val="28"/>
          <w:szCs w:val="28"/>
        </w:rPr>
        <w:tab/>
      </w:r>
      <w:r>
        <w:rPr>
          <w:sz w:val="28"/>
          <w:szCs w:val="28"/>
        </w:rPr>
        <w:fldChar w:fldCharType="begin"/>
      </w:r>
      <w:r>
        <w:rPr>
          <w:sz w:val="28"/>
          <w:szCs w:val="28"/>
        </w:rPr>
        <w:instrText xml:space="preserve"> PAGEREF _Toc38876065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6"/>
        <w:tabs>
          <w:tab w:val="right" w:leader="dot" w:pos="8296"/>
        </w:tabs>
        <w:rPr>
          <w:rFonts w:asciiTheme="minorHAnsi" w:hAnsiTheme="minorHAnsi" w:eastAsiaTheme="minorEastAsia" w:cstheme="minorBidi"/>
          <w:sz w:val="28"/>
          <w:szCs w:val="28"/>
        </w:rPr>
      </w:pPr>
      <w:r>
        <w:fldChar w:fldCharType="begin"/>
      </w:r>
      <w:r>
        <w:instrText xml:space="preserve"> HYPERLINK \l "_Toc38876066" </w:instrText>
      </w:r>
      <w:r>
        <w:fldChar w:fldCharType="separate"/>
      </w:r>
      <w:r>
        <w:rPr>
          <w:rStyle w:val="21"/>
          <w:rFonts w:hint="eastAsia"/>
          <w:sz w:val="28"/>
          <w:szCs w:val="28"/>
        </w:rPr>
        <w:t>九、社会责任</w:t>
      </w:r>
      <w:r>
        <w:rPr>
          <w:sz w:val="28"/>
          <w:szCs w:val="28"/>
        </w:rPr>
        <w:tab/>
      </w:r>
      <w:r>
        <w:rPr>
          <w:sz w:val="28"/>
          <w:szCs w:val="28"/>
        </w:rPr>
        <w:fldChar w:fldCharType="begin"/>
      </w:r>
      <w:r>
        <w:rPr>
          <w:sz w:val="28"/>
          <w:szCs w:val="28"/>
        </w:rPr>
        <w:instrText xml:space="preserve"> PAGEREF _Toc38876066 \h </w:instrText>
      </w:r>
      <w:r>
        <w:rPr>
          <w:sz w:val="28"/>
          <w:szCs w:val="28"/>
        </w:rPr>
        <w:fldChar w:fldCharType="separate"/>
      </w:r>
      <w:r>
        <w:rPr>
          <w:sz w:val="28"/>
          <w:szCs w:val="28"/>
        </w:rPr>
        <w:t>13</w:t>
      </w:r>
      <w:r>
        <w:rPr>
          <w:sz w:val="28"/>
          <w:szCs w:val="28"/>
        </w:rPr>
        <w:fldChar w:fldCharType="end"/>
      </w:r>
      <w:r>
        <w:rPr>
          <w:sz w:val="28"/>
          <w:szCs w:val="28"/>
        </w:rPr>
        <w:fldChar w:fldCharType="end"/>
      </w:r>
    </w:p>
    <w:p>
      <w:r>
        <w:rPr>
          <w:rFonts w:hint="eastAsia"/>
          <w:sz w:val="28"/>
          <w:szCs w:val="28"/>
        </w:rPr>
        <w:fldChar w:fldCharType="end"/>
      </w:r>
    </w:p>
    <w:p>
      <w:pPr>
        <w:pStyle w:val="3"/>
        <w:jc w:val="left"/>
        <w:sectPr>
          <w:footerReference r:id="rId6" w:type="default"/>
          <w:pgSz w:w="11906" w:h="16838"/>
          <w:pgMar w:top="1440" w:right="1800" w:bottom="1440" w:left="1800" w:header="851" w:footer="992" w:gutter="0"/>
          <w:pgNumType w:start="1"/>
          <w:cols w:space="720" w:num="1"/>
          <w:docGrid w:type="lines" w:linePitch="312" w:charSpace="0"/>
        </w:sectPr>
      </w:pPr>
    </w:p>
    <w:p>
      <w:pPr>
        <w:pStyle w:val="3"/>
        <w:jc w:val="left"/>
      </w:pPr>
      <w:bookmarkStart w:id="6" w:name="_Toc38876047"/>
      <w:r>
        <w:rPr>
          <w:rFonts w:hint="eastAsia"/>
        </w:rPr>
        <w:t>一、公司简介：</w:t>
      </w:r>
      <w:bookmarkEnd w:id="6"/>
    </w:p>
    <w:p>
      <w:pPr>
        <w:widowControl/>
        <w:shd w:val="clear" w:color="auto" w:fill="FFFFFF"/>
        <w:spacing w:line="360" w:lineRule="auto"/>
        <w:ind w:firstLine="420"/>
        <w:jc w:val="left"/>
        <w:rPr>
          <w:rFonts w:ascii="宋体" w:hAnsi="宋体"/>
          <w:spacing w:val="-4"/>
          <w:sz w:val="28"/>
          <w:szCs w:val="22"/>
        </w:rPr>
      </w:pPr>
      <w:r>
        <w:rPr>
          <w:rFonts w:hint="eastAsia" w:ascii="宋体" w:hAnsi="宋体"/>
          <w:spacing w:val="-4"/>
          <w:sz w:val="28"/>
          <w:szCs w:val="22"/>
        </w:rPr>
        <w:t>江苏东方滤袋股份有限公司坐落于富饶的黄海之滨——江苏省阜宁环保滤料产业园区内。公司集研发、生产、销售、技术支持与服务为一体的实体型企业，2014年更名江苏东方滤袋股份有限公司并在“新三板”（股票代码：831824）上市。注册资金5323万元，拥有资产2.12亿元，占地面积约为69000平方米，拥有进口德国奥特发、卡尔迈耶等生产线12条，主营各类环保滤料产品，年生产能力1200万平方米，营销网点遍布国内外，产品销往全球10多国家和地区，现为中国产业用纺织品行业协会和中国袋式除尘委员会常务理事。</w:t>
      </w:r>
    </w:p>
    <w:p>
      <w:pPr>
        <w:widowControl/>
        <w:shd w:val="clear" w:color="auto" w:fill="FFFFFF"/>
        <w:spacing w:line="360" w:lineRule="auto"/>
        <w:ind w:firstLine="420"/>
        <w:jc w:val="left"/>
        <w:rPr>
          <w:rFonts w:ascii="宋体" w:hAnsi="宋体"/>
          <w:spacing w:val="-4"/>
          <w:sz w:val="28"/>
          <w:szCs w:val="22"/>
        </w:rPr>
      </w:pPr>
      <w:commentRangeStart w:id="0"/>
      <w:r>
        <w:rPr>
          <w:rFonts w:hint="eastAsia" w:ascii="宋体" w:hAnsi="宋体"/>
          <w:color w:val="00B0F0"/>
          <w:spacing w:val="-4"/>
          <w:sz w:val="28"/>
          <w:szCs w:val="22"/>
        </w:rPr>
        <w:t>公司拥有授权专利3</w:t>
      </w:r>
      <w:r>
        <w:rPr>
          <w:rFonts w:hint="eastAsia" w:ascii="宋体" w:hAnsi="宋体"/>
          <w:color w:val="00B0F0"/>
          <w:spacing w:val="-4"/>
          <w:sz w:val="28"/>
          <w:szCs w:val="22"/>
          <w:lang w:val="en-US" w:eastAsia="zh-CN"/>
        </w:rPr>
        <w:t>2</w:t>
      </w:r>
      <w:r>
        <w:rPr>
          <w:rFonts w:hint="eastAsia" w:ascii="宋体" w:hAnsi="宋体"/>
          <w:color w:val="00B0F0"/>
          <w:spacing w:val="-4"/>
          <w:sz w:val="28"/>
          <w:szCs w:val="22"/>
        </w:rPr>
        <w:t>项，其中发明专利12项，</w:t>
      </w:r>
      <w:commentRangeEnd w:id="0"/>
      <w:r>
        <w:rPr>
          <w:rStyle w:val="22"/>
          <w:color w:val="00B0F0"/>
          <w:sz w:val="22"/>
        </w:rPr>
        <w:commentReference w:id="0"/>
      </w:r>
      <w:r>
        <w:rPr>
          <w:rFonts w:hint="eastAsia" w:ascii="宋体" w:hAnsi="宋体"/>
          <w:spacing w:val="-4"/>
          <w:sz w:val="28"/>
          <w:szCs w:val="22"/>
        </w:rPr>
        <w:t>“志荣牌”’滤袋荣获中国驰名商标，参与制定国家标准3项、行业标准4项；产品先后荣获江苏省名牌产品2项、江苏省高新技术产品9项、江苏省科学技术奖3项、江苏省环境保护科技进步奖，“耐高温水解间位芳纶滤料”荣获江苏省科技创业大赛优秀奖，研发部分产品列入科技部国家火炬计划项目和国家重点新产品项目，并承担国家“十二·五”科技支撑计划等项目12项。</w:t>
      </w:r>
    </w:p>
    <w:p>
      <w:pPr>
        <w:widowControl/>
        <w:shd w:val="clear" w:color="auto" w:fill="FFFFFF"/>
        <w:spacing w:line="360" w:lineRule="auto"/>
        <w:ind w:firstLine="420"/>
        <w:jc w:val="left"/>
        <w:rPr>
          <w:rFonts w:ascii="宋体" w:hAnsi="宋体"/>
          <w:spacing w:val="-4"/>
          <w:sz w:val="28"/>
          <w:szCs w:val="22"/>
        </w:rPr>
      </w:pPr>
      <w:r>
        <w:rPr>
          <w:rFonts w:hint="eastAsia" w:ascii="宋体" w:hAnsi="宋体"/>
          <w:spacing w:val="-4"/>
          <w:sz w:val="28"/>
          <w:szCs w:val="22"/>
        </w:rPr>
        <w:t>公司通过了ISO9001:2015质量体系、ISO14001:2015环境体系认证、OHSAS18001：2017职业健康安全管理体系认证证书和安全生产标准化二级企业，在环保行业率先被评为“国家火炬计划重点高新技术企业”、“全国守合同重信用企业”、”国家知识产权优势企业”、“国家鼓励发展的重大环保技术装备依托单位”、2014-2015中国非织造布行业最具成长性企业、江苏省信用管理示范单位、第四届中国创新创业大赛优秀企业。</w:t>
      </w:r>
    </w:p>
    <w:p>
      <w:pPr>
        <w:widowControl/>
        <w:shd w:val="clear" w:color="auto" w:fill="FFFFFF"/>
        <w:spacing w:line="360" w:lineRule="auto"/>
        <w:ind w:firstLine="420"/>
        <w:jc w:val="left"/>
        <w:rPr>
          <w:rFonts w:ascii="宋体" w:hAnsi="宋体"/>
          <w:spacing w:val="-4"/>
          <w:sz w:val="28"/>
          <w:szCs w:val="22"/>
        </w:rPr>
      </w:pPr>
      <w:r>
        <w:rPr>
          <w:rFonts w:hint="eastAsia" w:ascii="宋体" w:hAnsi="宋体"/>
          <w:spacing w:val="-4"/>
          <w:sz w:val="28"/>
          <w:szCs w:val="22"/>
        </w:rPr>
        <w:t>公司本着“追求、务实、诚信、创新”的经营理念，努力提供最好的滤料，为保护美丽环境作出更大的贡献。</w:t>
      </w:r>
    </w:p>
    <w:p>
      <w:pPr>
        <w:pStyle w:val="3"/>
      </w:pPr>
      <w:bookmarkStart w:id="7" w:name="_Toc38876048"/>
      <w:r>
        <w:rPr>
          <w:rFonts w:hint="eastAsia"/>
        </w:rPr>
        <w:t>二、经营状况：</w:t>
      </w:r>
      <w:bookmarkEnd w:id="7"/>
    </w:p>
    <w:p>
      <w:pPr>
        <w:widowControl/>
        <w:shd w:val="clear" w:color="auto" w:fill="FFFFFF"/>
        <w:spacing w:line="360" w:lineRule="auto"/>
        <w:ind w:firstLine="420"/>
        <w:jc w:val="left"/>
        <w:rPr>
          <w:rFonts w:ascii="宋体" w:hAnsi="宋体" w:cs="宋体"/>
          <w:sz w:val="28"/>
          <w:szCs w:val="28"/>
        </w:rPr>
      </w:pPr>
      <w:r>
        <w:rPr>
          <w:rFonts w:hint="eastAsia" w:ascii="宋体" w:hAnsi="宋体"/>
          <w:spacing w:val="-4"/>
          <w:sz w:val="28"/>
          <w:szCs w:val="28"/>
        </w:rPr>
        <w:t>2019年，公司坚持走品牌建设路线，以“建设质量领先、环境优美、资源节约的创新型企业。为客户、为员工、为社会创造价值”为使命，紧紧围绕全年工作计划部署开展工作，取得了可喜的成绩，在各业务模块获得了重要的突破和增长。年末人员规模达到226人，经营规模持续保持良好的增长，公司行业地位进一步提升和巩固，尤其是公司主流技术产品获得了较高的市场认同。</w:t>
      </w:r>
      <w:r>
        <w:rPr>
          <w:rFonts w:hint="eastAsia" w:ascii="宋体" w:hAnsi="宋体" w:cs="宋体"/>
          <w:kern w:val="0"/>
          <w:sz w:val="28"/>
          <w:szCs w:val="28"/>
          <w:shd w:val="clear" w:color="auto" w:fill="FFFFFF"/>
        </w:rPr>
        <w:t>2019年</w:t>
      </w:r>
      <w:r>
        <w:rPr>
          <w:rFonts w:hint="eastAsia" w:ascii="宋体" w:hAnsi="宋体" w:cs="宋体"/>
          <w:sz w:val="28"/>
          <w:szCs w:val="28"/>
        </w:rPr>
        <w:t>企业共生产产品921.4万平方米，2019年实现销售为20516.6万元，</w:t>
      </w:r>
      <w:r>
        <w:rPr>
          <w:rFonts w:hint="eastAsia" w:ascii="宋体" w:hAnsi="宋体" w:cs="宋体"/>
          <w:color w:val="FF0000"/>
          <w:sz w:val="28"/>
          <w:szCs w:val="28"/>
        </w:rPr>
        <w:t>上交税收2068万元，工业增加值8277万元。</w:t>
      </w:r>
    </w:p>
    <w:p>
      <w:pPr>
        <w:pStyle w:val="3"/>
        <w:rPr>
          <w:sz w:val="36"/>
        </w:rPr>
        <w:sectPr>
          <w:pgSz w:w="11906" w:h="16838"/>
          <w:pgMar w:top="1440" w:right="1800" w:bottom="1440" w:left="1800" w:header="851" w:footer="992" w:gutter="0"/>
          <w:pgNumType w:start="1"/>
          <w:cols w:space="720" w:num="1"/>
          <w:docGrid w:type="lines" w:linePitch="312" w:charSpace="0"/>
        </w:sectPr>
      </w:pPr>
    </w:p>
    <w:p>
      <w:pPr>
        <w:pStyle w:val="3"/>
      </w:pPr>
      <w:bookmarkStart w:id="8" w:name="_Toc38876049"/>
      <w:r>
        <w:rPr>
          <w:rFonts w:hint="eastAsia" w:eastAsia="宋体"/>
        </w:rPr>
        <w:drawing>
          <wp:anchor distT="0" distB="0" distL="114300" distR="114300" simplePos="0" relativeHeight="251662336" behindDoc="0" locked="0" layoutInCell="1" allowOverlap="1">
            <wp:simplePos x="0" y="0"/>
            <wp:positionH relativeFrom="column">
              <wp:posOffset>492760</wp:posOffset>
            </wp:positionH>
            <wp:positionV relativeFrom="paragraph">
              <wp:posOffset>506095</wp:posOffset>
            </wp:positionV>
            <wp:extent cx="7339330" cy="4646930"/>
            <wp:effectExtent l="0" t="0" r="0" b="1270"/>
            <wp:wrapNone/>
            <wp:docPr id="1" name="图片 1" descr="QQ图片2018051012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510122027"/>
                    <pic:cNvPicPr>
                      <a:picLocks noChangeAspect="1"/>
                    </pic:cNvPicPr>
                  </pic:nvPicPr>
                  <pic:blipFill>
                    <a:blip r:embed="rId8"/>
                    <a:stretch>
                      <a:fillRect/>
                    </a:stretch>
                  </pic:blipFill>
                  <pic:spPr>
                    <a:xfrm>
                      <a:off x="0" y="0"/>
                      <a:ext cx="7339330" cy="4646930"/>
                    </a:xfrm>
                    <a:prstGeom prst="rect">
                      <a:avLst/>
                    </a:prstGeom>
                    <a:noFill/>
                    <a:ln>
                      <a:noFill/>
                    </a:ln>
                  </pic:spPr>
                </pic:pic>
              </a:graphicData>
            </a:graphic>
          </wp:anchor>
        </w:drawing>
      </w:r>
      <w:r>
        <w:rPr>
          <w:rFonts w:hint="eastAsia"/>
        </w:rPr>
        <w:t>三、组织架构图:</w:t>
      </w:r>
      <w:bookmarkEnd w:id="8"/>
    </w:p>
    <w:p>
      <w:pPr>
        <w:rPr>
          <w:rFonts w:ascii="宋体" w:cs="宋体"/>
          <w:kern w:val="0"/>
          <w:sz w:val="18"/>
          <w:szCs w:val="18"/>
          <w:lang w:val="zh-CN"/>
        </w:rPr>
      </w:pPr>
    </w:p>
    <w:p/>
    <w:p/>
    <w:p/>
    <w:p/>
    <w:p/>
    <w:p/>
    <w:p/>
    <w:p/>
    <w:p/>
    <w:p/>
    <w:p/>
    <w:p/>
    <w:p/>
    <w:p/>
    <w:p/>
    <w:p/>
    <w:p/>
    <w:p/>
    <w:p/>
    <w:p/>
    <w:p/>
    <w:p/>
    <w:p>
      <w:pPr>
        <w:pStyle w:val="3"/>
        <w:sectPr>
          <w:pgSz w:w="16838" w:h="11906" w:orient="landscape"/>
          <w:pgMar w:top="1800" w:right="1440" w:bottom="1800" w:left="1440" w:header="851" w:footer="992" w:gutter="0"/>
          <w:cols w:space="720" w:num="1"/>
          <w:docGrid w:type="lines" w:linePitch="312" w:charSpace="0"/>
        </w:sectPr>
      </w:pPr>
    </w:p>
    <w:p>
      <w:pPr>
        <w:pStyle w:val="3"/>
      </w:pPr>
      <w:bookmarkStart w:id="9" w:name="_Toc38876050"/>
      <w:r>
        <w:rPr>
          <w:rFonts w:hint="eastAsia"/>
        </w:rPr>
        <w:t>四、技术创新</w:t>
      </w:r>
      <w:bookmarkEnd w:id="9"/>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公司始创于1996年，2014年更名为“江苏东方滤袋股份有限公司” ，2015年1月在“新三板”成功上市（证券代码：831824），是县内首家、盐城市第四家在新三板上市企业，资信等级AAA级。</w:t>
      </w:r>
    </w:p>
    <w:p>
      <w:pPr>
        <w:widowControl/>
        <w:shd w:val="clear" w:color="auto" w:fill="FFFFFF"/>
        <w:spacing w:line="360" w:lineRule="auto"/>
        <w:ind w:firstLine="420"/>
        <w:jc w:val="left"/>
        <w:rPr>
          <w:rFonts w:ascii="宋体" w:hAnsi="宋体"/>
          <w:b/>
          <w:spacing w:val="-4"/>
          <w:sz w:val="28"/>
          <w:szCs w:val="28"/>
        </w:rPr>
      </w:pPr>
      <w:bookmarkStart w:id="10" w:name="_Toc415236057"/>
      <w:r>
        <w:rPr>
          <w:rFonts w:hint="eastAsia" w:ascii="宋体" w:hAnsi="宋体"/>
          <w:b/>
          <w:spacing w:val="-4"/>
          <w:sz w:val="28"/>
          <w:szCs w:val="28"/>
        </w:rPr>
        <w:t>（一）企业基本情况</w:t>
      </w:r>
      <w:bookmarkEnd w:id="10"/>
    </w:p>
    <w:p>
      <w:pPr>
        <w:widowControl/>
        <w:shd w:val="clear" w:color="auto" w:fill="FFFFFF"/>
        <w:spacing w:line="360" w:lineRule="auto"/>
        <w:ind w:firstLine="420"/>
        <w:jc w:val="left"/>
        <w:rPr>
          <w:rFonts w:ascii="宋体" w:hAnsi="宋体"/>
          <w:spacing w:val="-4"/>
          <w:sz w:val="28"/>
          <w:szCs w:val="28"/>
        </w:rPr>
      </w:pPr>
      <w:bookmarkStart w:id="11" w:name="_Toc415236058"/>
      <w:r>
        <w:rPr>
          <w:rFonts w:hint="eastAsia" w:ascii="宋体" w:hAnsi="宋体"/>
          <w:spacing w:val="-4"/>
          <w:sz w:val="28"/>
          <w:szCs w:val="28"/>
        </w:rPr>
        <w:t>1、公司生产能力强大</w:t>
      </w:r>
      <w:bookmarkEnd w:id="11"/>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拥有国内一流的预刺、修面、无纺、整经、高速针刺等滤料生产线12条，拥有年生产过滤材料1200万平方米的生产能力，年销售收入超1亿元，利税超1000万元。产品涵盖涤纶针刺毡、抗静电、拒水防油、三防针刺毡、氟美斯、美塔斯、亚克力、芳斯特、迷特，玻纤毡、玻氟斯、斯泰福、四斯美、柯麦尔、PPS、P84、PTFE针刺毡、玄武岩针刺毡等十多个系列，畅销全国三十多个省、市、自治区，与华电集团、大唐集团、南钢集团、华能集团、马钢集团等大型企业合作紧密，同时与美国、韩国、意大利、日本、香港等国家和地区建立了长期经贸合作关系。</w:t>
      </w:r>
    </w:p>
    <w:p>
      <w:pPr>
        <w:widowControl/>
        <w:shd w:val="clear" w:color="auto" w:fill="FFFFFF"/>
        <w:spacing w:line="360" w:lineRule="auto"/>
        <w:ind w:firstLine="420"/>
        <w:jc w:val="left"/>
        <w:rPr>
          <w:rFonts w:ascii="宋体" w:hAnsi="宋体"/>
          <w:spacing w:val="-4"/>
          <w:sz w:val="28"/>
          <w:szCs w:val="28"/>
        </w:rPr>
      </w:pPr>
      <w:bookmarkStart w:id="12" w:name="_Toc415236059"/>
      <w:r>
        <w:rPr>
          <w:rFonts w:hint="eastAsia" w:ascii="宋体" w:hAnsi="宋体"/>
          <w:spacing w:val="-4"/>
          <w:sz w:val="28"/>
          <w:szCs w:val="28"/>
        </w:rPr>
        <w:t>2、公司研发实力雄厚</w:t>
      </w:r>
      <w:bookmarkEnd w:id="12"/>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近年来与东华大学、东南大学、南京师范大学等高校建立了长期密切的产学研合作关系，建有省级研究生工作站、省级烟气滤料工程技术研究中心和省级企业技术中心。研发团队34人，其中，教授级高级工程师9人，其他研发人员25人，包括高分子材料、纺织工程、应用化学、机械工程、检测等各领域专业人才。</w:t>
      </w:r>
      <w:r>
        <w:rPr>
          <w:rFonts w:hint="eastAsia" w:ascii="宋体" w:hAnsi="宋体"/>
          <w:spacing w:val="-4"/>
          <w:sz w:val="28"/>
          <w:szCs w:val="28"/>
          <w:lang w:val="en-US" w:eastAsia="zh-CN"/>
        </w:rPr>
        <w:t>2019年</w:t>
      </w:r>
      <w:r>
        <w:rPr>
          <w:rFonts w:hint="eastAsia" w:ascii="宋体" w:hAnsi="宋体"/>
          <w:spacing w:val="-4"/>
          <w:sz w:val="28"/>
          <w:szCs w:val="28"/>
        </w:rPr>
        <w:t>投入研发经费</w:t>
      </w:r>
      <w:r>
        <w:rPr>
          <w:rFonts w:hint="eastAsia" w:ascii="宋体" w:hAnsi="宋体"/>
          <w:spacing w:val="-4"/>
          <w:sz w:val="28"/>
          <w:szCs w:val="28"/>
          <w:lang w:val="en-US" w:eastAsia="zh-CN"/>
        </w:rPr>
        <w:t>1066.9</w:t>
      </w:r>
      <w:r>
        <w:rPr>
          <w:rFonts w:hint="eastAsia" w:ascii="宋体" w:hAnsi="宋体"/>
          <w:spacing w:val="-4"/>
          <w:sz w:val="28"/>
          <w:szCs w:val="28"/>
        </w:rPr>
        <w:t>万元，</w:t>
      </w:r>
      <w:commentRangeStart w:id="1"/>
      <w:r>
        <w:rPr>
          <w:rFonts w:hint="eastAsia" w:ascii="宋体" w:hAnsi="宋体"/>
          <w:spacing w:val="-4"/>
          <w:sz w:val="28"/>
          <w:szCs w:val="28"/>
        </w:rPr>
        <w:t>先后申请了国家发明、实用新型专利</w:t>
      </w:r>
      <w:r>
        <w:rPr>
          <w:rFonts w:hint="eastAsia" w:ascii="宋体" w:hAnsi="宋体"/>
          <w:spacing w:val="-4"/>
          <w:sz w:val="28"/>
          <w:szCs w:val="28"/>
          <w:lang w:val="en-US" w:eastAsia="zh-CN"/>
        </w:rPr>
        <w:t>32</w:t>
      </w:r>
      <w:r>
        <w:rPr>
          <w:rFonts w:hint="eastAsia" w:ascii="宋体" w:hAnsi="宋体"/>
          <w:spacing w:val="-4"/>
          <w:sz w:val="28"/>
          <w:szCs w:val="28"/>
        </w:rPr>
        <w:t>项，获得授权发明专利1</w:t>
      </w:r>
      <w:r>
        <w:rPr>
          <w:rFonts w:hint="eastAsia" w:ascii="宋体" w:hAnsi="宋体"/>
          <w:spacing w:val="-4"/>
          <w:sz w:val="28"/>
          <w:szCs w:val="28"/>
          <w:lang w:val="en-US" w:eastAsia="zh-CN"/>
        </w:rPr>
        <w:t>2</w:t>
      </w:r>
      <w:r>
        <w:rPr>
          <w:rFonts w:hint="eastAsia" w:ascii="宋体" w:hAnsi="宋体"/>
          <w:spacing w:val="-4"/>
          <w:sz w:val="28"/>
          <w:szCs w:val="28"/>
        </w:rPr>
        <w:t>项，实用新型专利</w:t>
      </w:r>
      <w:r>
        <w:rPr>
          <w:rFonts w:hint="eastAsia" w:ascii="宋体" w:hAnsi="宋体"/>
          <w:spacing w:val="-4"/>
          <w:sz w:val="28"/>
          <w:szCs w:val="28"/>
          <w:lang w:val="en-US" w:eastAsia="zh-CN"/>
        </w:rPr>
        <w:t>20</w:t>
      </w:r>
      <w:r>
        <w:rPr>
          <w:rFonts w:hint="eastAsia" w:ascii="宋体" w:hAnsi="宋体"/>
          <w:spacing w:val="-4"/>
          <w:sz w:val="28"/>
          <w:szCs w:val="28"/>
        </w:rPr>
        <w:t>项。</w:t>
      </w:r>
      <w:commentRangeEnd w:id="1"/>
      <w:r>
        <w:rPr>
          <w:rStyle w:val="22"/>
          <w:sz w:val="28"/>
          <w:szCs w:val="28"/>
        </w:rPr>
        <w:commentReference w:id="1"/>
      </w:r>
      <w:r>
        <w:rPr>
          <w:rFonts w:hint="eastAsia" w:ascii="宋体" w:hAnsi="宋体"/>
          <w:spacing w:val="-4"/>
          <w:sz w:val="28"/>
          <w:szCs w:val="28"/>
        </w:rPr>
        <w:t>累计承担国家“十二五”支撑计划课题、科技部创新基金项目等各类科研项目12项，其中列入国家火炬计划项目2项。“玻氟斯复合过滤毡”获得江苏省科技进步奖三等奖，“耐氧化水解整理关键技术及高温滤料”获得上海市科技进步奖三等奖，“高性能功能性过滤材料研究及应用”获江苏省环境保护科学技术二等奖。课题明细如下：</w:t>
      </w:r>
    </w:p>
    <w:p>
      <w:pPr>
        <w:spacing w:line="560" w:lineRule="exact"/>
        <w:ind w:firstLine="560" w:firstLineChars="200"/>
        <w:rPr>
          <w:rFonts w:ascii="宋体" w:hAnsi="宋体" w:cs="宋体"/>
          <w:sz w:val="28"/>
          <w:szCs w:val="28"/>
        </w:rPr>
      </w:pPr>
      <w:r>
        <w:rPr>
          <w:sz w:val="28"/>
          <w:szCs w:val="28"/>
        </w:rPr>
        <w:t xml:space="preserve">          </w:t>
      </w:r>
      <w:r>
        <w:rPr>
          <w:rFonts w:hint="eastAsia" w:ascii="宋体" w:hAnsi="宋体" w:cs="宋体"/>
          <w:sz w:val="28"/>
          <w:szCs w:val="28"/>
        </w:rPr>
        <w:t xml:space="preserve">  表1 2017—2019承担的科研课题</w:t>
      </w:r>
    </w:p>
    <w:p>
      <w:pPr>
        <w:spacing w:line="240" w:lineRule="exact"/>
        <w:ind w:firstLine="480" w:firstLineChars="200"/>
        <w:rPr>
          <w:rFonts w:ascii="宋体" w:hAnsi="宋体" w:cs="宋体"/>
          <w:sz w:val="24"/>
          <w:szCs w:val="24"/>
        </w:rPr>
      </w:pPr>
    </w:p>
    <w:tbl>
      <w:tblPr>
        <w:tblStyle w:val="19"/>
        <w:tblW w:w="9125"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305"/>
        <w:gridCol w:w="1440"/>
        <w:gridCol w:w="21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80" w:type="dxa"/>
            <w:vAlign w:val="center"/>
          </w:tcPr>
          <w:p>
            <w:pPr>
              <w:adjustRightInd w:val="0"/>
              <w:snapToGrid w:val="0"/>
              <w:spacing w:line="324" w:lineRule="auto"/>
              <w:jc w:val="center"/>
              <w:rPr>
                <w:rFonts w:ascii="宋体" w:hAnsi="宋体" w:cs="宋体"/>
                <w:b/>
                <w:bCs/>
                <w:sz w:val="24"/>
                <w:szCs w:val="24"/>
              </w:rPr>
            </w:pPr>
            <w:r>
              <w:rPr>
                <w:rFonts w:hint="eastAsia" w:ascii="宋体" w:hAnsi="宋体" w:cs="宋体"/>
                <w:b/>
                <w:bCs/>
                <w:sz w:val="24"/>
                <w:szCs w:val="24"/>
              </w:rPr>
              <w:t>序号</w:t>
            </w:r>
          </w:p>
        </w:tc>
        <w:tc>
          <w:tcPr>
            <w:tcW w:w="3305" w:type="dxa"/>
            <w:vAlign w:val="center"/>
          </w:tcPr>
          <w:p>
            <w:pPr>
              <w:adjustRightInd w:val="0"/>
              <w:snapToGrid w:val="0"/>
              <w:spacing w:line="324" w:lineRule="auto"/>
              <w:jc w:val="center"/>
              <w:rPr>
                <w:rFonts w:ascii="宋体" w:hAnsi="宋体" w:cs="宋体"/>
                <w:b/>
                <w:bCs/>
                <w:sz w:val="24"/>
                <w:szCs w:val="24"/>
              </w:rPr>
            </w:pPr>
            <w:r>
              <w:rPr>
                <w:rFonts w:hint="eastAsia" w:ascii="宋体" w:hAnsi="宋体" w:cs="宋体"/>
                <w:b/>
                <w:bCs/>
                <w:sz w:val="24"/>
                <w:szCs w:val="24"/>
              </w:rPr>
              <w:t>课题名称</w:t>
            </w:r>
          </w:p>
        </w:tc>
        <w:tc>
          <w:tcPr>
            <w:tcW w:w="1440" w:type="dxa"/>
            <w:vAlign w:val="center"/>
          </w:tcPr>
          <w:p>
            <w:pPr>
              <w:adjustRightInd w:val="0"/>
              <w:snapToGrid w:val="0"/>
              <w:spacing w:line="324" w:lineRule="auto"/>
              <w:jc w:val="center"/>
              <w:rPr>
                <w:rFonts w:ascii="宋体" w:hAnsi="宋体" w:cs="宋体"/>
                <w:b/>
                <w:bCs/>
                <w:sz w:val="24"/>
                <w:szCs w:val="24"/>
              </w:rPr>
            </w:pPr>
            <w:r>
              <w:rPr>
                <w:rFonts w:hint="eastAsia" w:ascii="宋体" w:hAnsi="宋体" w:cs="宋体"/>
                <w:b/>
                <w:bCs/>
                <w:sz w:val="24"/>
                <w:szCs w:val="24"/>
              </w:rPr>
              <w:t>技术来源</w:t>
            </w:r>
          </w:p>
        </w:tc>
        <w:tc>
          <w:tcPr>
            <w:tcW w:w="2160" w:type="dxa"/>
            <w:vAlign w:val="center"/>
          </w:tcPr>
          <w:p>
            <w:pPr>
              <w:adjustRightInd w:val="0"/>
              <w:snapToGrid w:val="0"/>
              <w:spacing w:line="324" w:lineRule="auto"/>
              <w:jc w:val="center"/>
              <w:rPr>
                <w:rFonts w:ascii="宋体" w:hAnsi="宋体" w:cs="宋体"/>
                <w:b/>
                <w:bCs/>
                <w:sz w:val="24"/>
                <w:szCs w:val="24"/>
              </w:rPr>
            </w:pPr>
            <w:r>
              <w:rPr>
                <w:rFonts w:hint="eastAsia" w:ascii="宋体" w:hAnsi="宋体" w:cs="宋体"/>
                <w:b/>
                <w:bCs/>
                <w:sz w:val="24"/>
                <w:szCs w:val="24"/>
              </w:rPr>
              <w:t>规划目标</w:t>
            </w:r>
          </w:p>
        </w:tc>
        <w:tc>
          <w:tcPr>
            <w:tcW w:w="1440" w:type="dxa"/>
            <w:vAlign w:val="center"/>
          </w:tcPr>
          <w:p>
            <w:pPr>
              <w:adjustRightInd w:val="0"/>
              <w:snapToGrid w:val="0"/>
              <w:spacing w:line="324" w:lineRule="auto"/>
              <w:jc w:val="center"/>
              <w:rPr>
                <w:rFonts w:ascii="宋体" w:hAnsi="宋体" w:cs="宋体"/>
                <w:b/>
                <w:bCs/>
                <w:sz w:val="24"/>
                <w:szCs w:val="24"/>
              </w:rPr>
            </w:pPr>
            <w:r>
              <w:rPr>
                <w:rFonts w:hint="eastAsia" w:ascii="宋体" w:hAnsi="宋体" w:cs="宋体"/>
                <w:b/>
                <w:bCs/>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1</w:t>
            </w: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四斯美过滤袋</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2017.03-2018.6</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2</w:t>
            </w: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玻氟斯水刺毡滤袋</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2017.3-2018.10</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3</w:t>
            </w: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常温针刺毡基布的研究</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2017.4-2018</w:t>
            </w:r>
            <w:bookmarkStart w:id="39" w:name="_GoBack"/>
            <w:bookmarkEnd w:id="39"/>
            <w:r>
              <w:rPr>
                <w:rFonts w:hint="eastAsia" w:ascii="宋体" w:hAnsi="宋体" w:cs="宋体"/>
                <w:sz w:val="24"/>
                <w:szCs w:val="24"/>
              </w:rPr>
              <w:t>.12</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4</w:t>
            </w: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P84复合烟尘除尘过滤滤袋</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2017.05-2019.1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80" w:type="dxa"/>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5</w:t>
            </w:r>
          </w:p>
        </w:tc>
        <w:tc>
          <w:tcPr>
            <w:tcW w:w="3305" w:type="dxa"/>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氟耐而复合针刺过滤毡</w:t>
            </w:r>
          </w:p>
        </w:tc>
        <w:tc>
          <w:tcPr>
            <w:tcW w:w="144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2018.2-2018.11</w:t>
            </w:r>
          </w:p>
        </w:tc>
        <w:tc>
          <w:tcPr>
            <w:tcW w:w="1440" w:type="dxa"/>
            <w:vAlign w:val="center"/>
          </w:tcPr>
          <w:p>
            <w:pPr>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80" w:type="dxa"/>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6</w:t>
            </w:r>
          </w:p>
        </w:tc>
        <w:tc>
          <w:tcPr>
            <w:tcW w:w="3305" w:type="dxa"/>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滤袋上口密封圈的研究</w:t>
            </w:r>
          </w:p>
        </w:tc>
        <w:tc>
          <w:tcPr>
            <w:tcW w:w="144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2018.03-2019.3</w:t>
            </w:r>
          </w:p>
        </w:tc>
        <w:tc>
          <w:tcPr>
            <w:tcW w:w="1440" w:type="dxa"/>
            <w:vAlign w:val="center"/>
          </w:tcPr>
          <w:p>
            <w:pPr>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7</w:t>
            </w:r>
          </w:p>
        </w:tc>
        <w:tc>
          <w:tcPr>
            <w:tcW w:w="3305" w:type="dxa"/>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中碱玻璃纤维布的研究</w:t>
            </w:r>
          </w:p>
        </w:tc>
        <w:tc>
          <w:tcPr>
            <w:tcW w:w="144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2018.4-20193.12</w:t>
            </w:r>
          </w:p>
        </w:tc>
        <w:tc>
          <w:tcPr>
            <w:tcW w:w="1440" w:type="dxa"/>
            <w:vAlign w:val="center"/>
          </w:tcPr>
          <w:p>
            <w:pPr>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8</w:t>
            </w:r>
          </w:p>
        </w:tc>
        <w:tc>
          <w:tcPr>
            <w:tcW w:w="3305" w:type="dxa"/>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耐高温功能性整理PTFE滤料</w:t>
            </w:r>
          </w:p>
        </w:tc>
        <w:tc>
          <w:tcPr>
            <w:tcW w:w="144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2018.02-2020.2</w:t>
            </w:r>
          </w:p>
        </w:tc>
        <w:tc>
          <w:tcPr>
            <w:tcW w:w="1440" w:type="dxa"/>
            <w:vAlign w:val="center"/>
          </w:tcPr>
          <w:p>
            <w:pPr>
              <w:spacing w:line="400" w:lineRule="exact"/>
              <w:jc w:val="center"/>
              <w:rPr>
                <w:rFonts w:ascii="宋体" w:hAnsi="宋体" w:cs="宋体"/>
                <w:sz w:val="24"/>
                <w:szCs w:val="24"/>
              </w:rPr>
            </w:pPr>
            <w:r>
              <w:rPr>
                <w:rFonts w:hint="eastAsia" w:ascii="宋体" w:hAnsi="宋体" w:cs="宋体"/>
                <w:sz w:val="24"/>
                <w:szCs w:val="24"/>
              </w:rPr>
              <w:t>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adjustRightInd w:val="0"/>
              <w:snapToGrid w:val="0"/>
              <w:spacing w:line="324" w:lineRule="auto"/>
              <w:jc w:val="center"/>
              <w:rPr>
                <w:rFonts w:ascii="宋体" w:hAnsi="宋体" w:cs="宋体"/>
                <w:sz w:val="24"/>
                <w:szCs w:val="24"/>
              </w:rPr>
            </w:pPr>
            <w:r>
              <w:rPr>
                <w:rFonts w:hint="eastAsia" w:ascii="宋体" w:hAnsi="宋体" w:cs="宋体"/>
                <w:sz w:val="24"/>
                <w:szCs w:val="24"/>
              </w:rPr>
              <w:t>9</w:t>
            </w:r>
          </w:p>
        </w:tc>
        <w:tc>
          <w:tcPr>
            <w:tcW w:w="3305" w:type="dxa"/>
            <w:vAlign w:val="center"/>
          </w:tcPr>
          <w:p>
            <w:pPr>
              <w:adjustRightInd w:val="0"/>
              <w:snapToGrid w:val="0"/>
              <w:spacing w:line="400" w:lineRule="exact"/>
              <w:rPr>
                <w:rFonts w:ascii="宋体" w:hAnsi="宋体" w:cs="宋体"/>
                <w:sz w:val="24"/>
                <w:szCs w:val="24"/>
              </w:rPr>
            </w:pPr>
            <w:r>
              <w:rPr>
                <w:rFonts w:hint="eastAsia" w:ascii="宋体" w:hAnsi="宋体" w:cs="宋体"/>
                <w:sz w:val="24"/>
                <w:szCs w:val="24"/>
              </w:rPr>
              <w:t>耐瞬时高温氧化的聚苯硫醚滤袋</w:t>
            </w:r>
          </w:p>
        </w:tc>
        <w:tc>
          <w:tcPr>
            <w:tcW w:w="144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自有技术</w:t>
            </w:r>
          </w:p>
        </w:tc>
        <w:tc>
          <w:tcPr>
            <w:tcW w:w="2160" w:type="dxa"/>
            <w:vAlign w:val="center"/>
          </w:tcPr>
          <w:p>
            <w:pPr>
              <w:adjustRightInd w:val="0"/>
              <w:snapToGrid w:val="0"/>
              <w:spacing w:line="400" w:lineRule="exact"/>
              <w:jc w:val="center"/>
              <w:rPr>
                <w:rFonts w:ascii="宋体" w:hAnsi="宋体" w:cs="宋体"/>
                <w:sz w:val="24"/>
                <w:szCs w:val="24"/>
              </w:rPr>
            </w:pPr>
            <w:r>
              <w:rPr>
                <w:rFonts w:hint="eastAsia" w:ascii="宋体" w:hAnsi="宋体" w:cs="宋体"/>
                <w:sz w:val="24"/>
                <w:szCs w:val="24"/>
              </w:rPr>
              <w:t>2019.03-2020.2</w:t>
            </w:r>
          </w:p>
        </w:tc>
        <w:tc>
          <w:tcPr>
            <w:tcW w:w="1440" w:type="dxa"/>
            <w:vAlign w:val="center"/>
          </w:tcPr>
          <w:p>
            <w:pPr>
              <w:spacing w:line="400" w:lineRule="exact"/>
              <w:jc w:val="center"/>
              <w:rPr>
                <w:rFonts w:ascii="宋体" w:hAnsi="宋体" w:cs="宋体"/>
                <w:sz w:val="24"/>
                <w:szCs w:val="24"/>
              </w:rPr>
            </w:pPr>
            <w:r>
              <w:rPr>
                <w:rFonts w:hint="eastAsia" w:ascii="宋体" w:hAnsi="宋体" w:cs="宋体"/>
                <w:sz w:val="24"/>
                <w:szCs w:val="24"/>
              </w:rPr>
              <w:t>完成验收</w:t>
            </w:r>
          </w:p>
        </w:tc>
      </w:tr>
    </w:tbl>
    <w:p>
      <w:pPr>
        <w:spacing w:line="480" w:lineRule="exact"/>
        <w:ind w:firstLine="480" w:firstLineChars="200"/>
        <w:rPr>
          <w:rFonts w:ascii="宋体" w:hAnsi="宋体" w:cs="宋体"/>
          <w:sz w:val="24"/>
        </w:rPr>
      </w:pPr>
    </w:p>
    <w:p>
      <w:pPr>
        <w:spacing w:line="480" w:lineRule="exact"/>
        <w:ind w:firstLine="480" w:firstLineChars="200"/>
        <w:rPr>
          <w:rFonts w:eastAsiaTheme="minorEastAsia"/>
          <w:sz w:val="24"/>
          <w:szCs w:val="24"/>
        </w:rPr>
      </w:pPr>
      <w:r>
        <w:rPr>
          <w:rFonts w:hint="eastAsia" w:ascii="宋体" w:hAnsi="宋体" w:cs="宋体"/>
          <w:sz w:val="24"/>
        </w:rPr>
        <w:t>（见图B1-8）。</w:t>
      </w:r>
    </w:p>
    <w:tbl>
      <w:tblPr>
        <w:tblStyle w:val="19"/>
        <w:tblW w:w="0" w:type="auto"/>
        <w:tblInd w:w="0" w:type="dxa"/>
        <w:tblBorders>
          <w:top w:val="single" w:color="1E4D78" w:sz="12" w:space="0"/>
          <w:left w:val="single" w:color="1E4D78" w:sz="12" w:space="0"/>
          <w:bottom w:val="single" w:color="1E4D78" w:sz="12" w:space="0"/>
          <w:right w:val="single" w:color="1E4D78" w:sz="12" w:space="0"/>
          <w:insideH w:val="dotted" w:color="1E4D78" w:sz="4" w:space="0"/>
          <w:insideV w:val="dotted" w:color="1E4D78" w:sz="4" w:space="0"/>
        </w:tblBorders>
        <w:tblLayout w:type="fixed"/>
        <w:tblCellMar>
          <w:top w:w="0" w:type="dxa"/>
          <w:left w:w="108" w:type="dxa"/>
          <w:bottom w:w="0" w:type="dxa"/>
          <w:right w:w="108" w:type="dxa"/>
        </w:tblCellMar>
      </w:tblPr>
      <w:tblGrid>
        <w:gridCol w:w="4270"/>
        <w:gridCol w:w="4270"/>
      </w:tblGrid>
      <w:tr>
        <w:tblPrEx>
          <w:tblBorders>
            <w:top w:val="single" w:color="1E4D78" w:sz="12" w:space="0"/>
            <w:left w:val="single" w:color="1E4D78" w:sz="12" w:space="0"/>
            <w:bottom w:val="single" w:color="1E4D78" w:sz="12" w:space="0"/>
            <w:right w:val="single" w:color="1E4D78" w:sz="12" w:space="0"/>
            <w:insideH w:val="dotted" w:color="1E4D78" w:sz="4" w:space="0"/>
            <w:insideV w:val="dotted" w:color="1E4D78" w:sz="4" w:space="0"/>
          </w:tblBorders>
          <w:tblCellMar>
            <w:top w:w="0" w:type="dxa"/>
            <w:left w:w="108" w:type="dxa"/>
            <w:bottom w:w="0" w:type="dxa"/>
            <w:right w:w="108" w:type="dxa"/>
          </w:tblCellMar>
        </w:tblPrEx>
        <w:trPr>
          <w:trHeight w:val="3023" w:hRule="atLeast"/>
        </w:trPr>
        <w:tc>
          <w:tcPr>
            <w:tcW w:w="4270" w:type="dxa"/>
          </w:tcPr>
          <w:p>
            <w:pPr>
              <w:snapToGrid w:val="0"/>
              <w:spacing w:line="360" w:lineRule="auto"/>
              <w:jc w:val="left"/>
              <w:rPr>
                <w:rFonts w:ascii="宋体" w:hAnsi="宋体" w:cs="宋体"/>
                <w:sz w:val="24"/>
              </w:rPr>
            </w:pPr>
            <w:r>
              <w:rPr>
                <w:rFonts w:hint="eastAsia" w:ascii="宋体" w:hAnsi="宋体" w:cs="宋体"/>
                <w:sz w:val="24"/>
              </w:rPr>
              <w:drawing>
                <wp:inline distT="0" distB="0" distL="114300" distR="114300">
                  <wp:extent cx="2526030" cy="1778000"/>
                  <wp:effectExtent l="0" t="0" r="3810" b="5080"/>
                  <wp:docPr id="6" name="图片 6" descr="高企证书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高企证书2018"/>
                          <pic:cNvPicPr>
                            <a:picLocks noChangeAspect="1"/>
                          </pic:cNvPicPr>
                        </pic:nvPicPr>
                        <pic:blipFill>
                          <a:blip r:embed="rId9"/>
                          <a:stretch>
                            <a:fillRect/>
                          </a:stretch>
                        </pic:blipFill>
                        <pic:spPr>
                          <a:xfrm>
                            <a:off x="0" y="0"/>
                            <a:ext cx="2526030" cy="1778000"/>
                          </a:xfrm>
                          <a:prstGeom prst="rect">
                            <a:avLst/>
                          </a:prstGeom>
                        </pic:spPr>
                      </pic:pic>
                    </a:graphicData>
                  </a:graphic>
                </wp:inline>
              </w:drawing>
            </w:r>
          </w:p>
        </w:tc>
        <w:tc>
          <w:tcPr>
            <w:tcW w:w="4270" w:type="dxa"/>
          </w:tcPr>
          <w:p>
            <w:pPr>
              <w:snapToGrid w:val="0"/>
              <w:spacing w:line="360" w:lineRule="auto"/>
              <w:jc w:val="left"/>
              <w:rPr>
                <w:rFonts w:ascii="宋体" w:hAnsi="宋体" w:cs="宋体"/>
                <w:sz w:val="24"/>
              </w:rPr>
            </w:pPr>
            <w:r>
              <w:rPr>
                <w:rFonts w:hint="eastAsia" w:ascii="宋体" w:hAnsi="宋体" w:cs="宋体"/>
                <w:sz w:val="24"/>
              </w:rPr>
              <w:drawing>
                <wp:inline distT="0" distB="0" distL="114300" distR="114300">
                  <wp:extent cx="2567940" cy="1855470"/>
                  <wp:effectExtent l="0" t="0" r="7620" b="3810"/>
                  <wp:docPr id="7" name="图片 7" descr="企业技术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企业技术中心"/>
                          <pic:cNvPicPr>
                            <a:picLocks noChangeAspect="1"/>
                          </pic:cNvPicPr>
                        </pic:nvPicPr>
                        <pic:blipFill>
                          <a:blip r:embed="rId10"/>
                          <a:stretch>
                            <a:fillRect/>
                          </a:stretch>
                        </pic:blipFill>
                        <pic:spPr>
                          <a:xfrm>
                            <a:off x="0" y="0"/>
                            <a:ext cx="2567940" cy="1855470"/>
                          </a:xfrm>
                          <a:prstGeom prst="rect">
                            <a:avLst/>
                          </a:prstGeom>
                        </pic:spPr>
                      </pic:pic>
                    </a:graphicData>
                  </a:graphic>
                </wp:inline>
              </w:drawing>
            </w:r>
          </w:p>
        </w:tc>
      </w:tr>
      <w:tr>
        <w:tblPrEx>
          <w:tblBorders>
            <w:top w:val="single" w:color="1E4D78" w:sz="12" w:space="0"/>
            <w:left w:val="single" w:color="1E4D78" w:sz="12" w:space="0"/>
            <w:bottom w:val="single" w:color="1E4D78" w:sz="12" w:space="0"/>
            <w:right w:val="single" w:color="1E4D78" w:sz="12" w:space="0"/>
            <w:insideH w:val="dotted" w:color="1E4D78" w:sz="4" w:space="0"/>
            <w:insideV w:val="dotted" w:color="1E4D78" w:sz="4" w:space="0"/>
          </w:tblBorders>
          <w:tblCellMar>
            <w:top w:w="0" w:type="dxa"/>
            <w:left w:w="108" w:type="dxa"/>
            <w:bottom w:w="0" w:type="dxa"/>
            <w:right w:w="108" w:type="dxa"/>
          </w:tblCellMar>
        </w:tblPrEx>
        <w:trPr>
          <w:trHeight w:val="2952" w:hRule="atLeast"/>
        </w:trPr>
        <w:tc>
          <w:tcPr>
            <w:tcW w:w="4270" w:type="dxa"/>
          </w:tcPr>
          <w:p>
            <w:pPr>
              <w:snapToGrid w:val="0"/>
              <w:spacing w:line="360" w:lineRule="auto"/>
              <w:jc w:val="left"/>
              <w:rPr>
                <w:rFonts w:ascii="宋体" w:hAnsi="宋体" w:cs="宋体"/>
                <w:sz w:val="24"/>
              </w:rPr>
            </w:pPr>
            <w:r>
              <w:rPr>
                <w:rFonts w:hint="eastAsia" w:ascii="宋体" w:hAnsi="宋体" w:cs="宋体"/>
                <w:sz w:val="24"/>
              </w:rPr>
              <w:drawing>
                <wp:inline distT="0" distB="0" distL="114300" distR="114300">
                  <wp:extent cx="2569845" cy="1728470"/>
                  <wp:effectExtent l="0" t="0" r="5715" b="8890"/>
                  <wp:docPr id="8" name="图片 8" descr="国家知识产权优势企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国家知识产权优势企业"/>
                          <pic:cNvPicPr>
                            <a:picLocks noChangeAspect="1"/>
                          </pic:cNvPicPr>
                        </pic:nvPicPr>
                        <pic:blipFill>
                          <a:blip r:embed="rId11"/>
                          <a:stretch>
                            <a:fillRect/>
                          </a:stretch>
                        </pic:blipFill>
                        <pic:spPr>
                          <a:xfrm>
                            <a:off x="0" y="0"/>
                            <a:ext cx="2569845" cy="1728470"/>
                          </a:xfrm>
                          <a:prstGeom prst="rect">
                            <a:avLst/>
                          </a:prstGeom>
                        </pic:spPr>
                      </pic:pic>
                    </a:graphicData>
                  </a:graphic>
                </wp:inline>
              </w:drawing>
            </w:r>
          </w:p>
        </w:tc>
        <w:tc>
          <w:tcPr>
            <w:tcW w:w="4270" w:type="dxa"/>
          </w:tcPr>
          <w:p>
            <w:pPr>
              <w:snapToGrid w:val="0"/>
              <w:spacing w:line="360" w:lineRule="auto"/>
              <w:jc w:val="left"/>
              <w:rPr>
                <w:rFonts w:ascii="宋体" w:hAnsi="宋体" w:cs="宋体"/>
                <w:sz w:val="24"/>
              </w:rPr>
            </w:pPr>
            <w:r>
              <w:rPr>
                <w:rFonts w:hint="eastAsia" w:ascii="宋体" w:hAnsi="宋体" w:cs="宋体"/>
                <w:sz w:val="24"/>
              </w:rPr>
              <w:drawing>
                <wp:inline distT="0" distB="0" distL="114300" distR="114300">
                  <wp:extent cx="2570480" cy="1647825"/>
                  <wp:effectExtent l="0" t="0" r="5080" b="13335"/>
                  <wp:docPr id="9" name="图片 9" descr="工程中心-发改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工程中心-发改委"/>
                          <pic:cNvPicPr>
                            <a:picLocks noChangeAspect="1"/>
                          </pic:cNvPicPr>
                        </pic:nvPicPr>
                        <pic:blipFill>
                          <a:blip r:embed="rId12"/>
                          <a:stretch>
                            <a:fillRect/>
                          </a:stretch>
                        </pic:blipFill>
                        <pic:spPr>
                          <a:xfrm>
                            <a:off x="0" y="0"/>
                            <a:ext cx="2570480" cy="1647825"/>
                          </a:xfrm>
                          <a:prstGeom prst="rect">
                            <a:avLst/>
                          </a:prstGeom>
                        </pic:spPr>
                      </pic:pic>
                    </a:graphicData>
                  </a:graphic>
                </wp:inline>
              </w:drawing>
            </w:r>
          </w:p>
        </w:tc>
      </w:tr>
    </w:tbl>
    <w:p>
      <w:pPr>
        <w:snapToGrid w:val="0"/>
        <w:spacing w:line="360" w:lineRule="auto"/>
        <w:jc w:val="center"/>
        <w:rPr>
          <w:rFonts w:ascii="宋体" w:hAnsi="宋体" w:cs="宋体"/>
          <w:sz w:val="24"/>
        </w:rPr>
      </w:pPr>
      <w:r>
        <w:rPr>
          <w:rFonts w:hint="eastAsia" w:ascii="宋体" w:hAnsi="宋体" w:cs="宋体"/>
          <w:szCs w:val="21"/>
        </w:rPr>
        <w:t>图B1-8 公司荣誉</w:t>
      </w:r>
    </w:p>
    <w:p/>
    <w:p>
      <w:pPr>
        <w:widowControl/>
        <w:shd w:val="clear" w:color="auto" w:fill="FFFFFF"/>
        <w:spacing w:line="360" w:lineRule="auto"/>
        <w:ind w:firstLine="420"/>
        <w:jc w:val="left"/>
        <w:rPr>
          <w:rFonts w:ascii="宋体" w:hAnsi="宋体"/>
          <w:b/>
          <w:spacing w:val="-4"/>
          <w:sz w:val="28"/>
          <w:szCs w:val="28"/>
        </w:rPr>
      </w:pPr>
      <w:r>
        <w:rPr>
          <w:rFonts w:hint="eastAsia" w:ascii="宋体" w:hAnsi="宋体"/>
          <w:b/>
          <w:spacing w:val="-4"/>
          <w:sz w:val="28"/>
          <w:szCs w:val="28"/>
        </w:rPr>
        <w:t>（二）研发团队建立</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公司从2008年起与东华大学、东南大学、南京师范大学等高校建立了产学研合作，研发团队34人，高等院校研发人员9人 (教授级高级工程师9人，企业研发人员25人（其中高级工程师3人，中级职称9人，初级职称13人)，包括高分子材料、纺织工程、应用化学、机械工程、检测等各类专业人才，同时长期聘请节能环保领域国内知名的靳向煜、刘松琴、祁争健、杨锦飞等教授担任技术顾问，是一支有高水平的、团结协作、优势互补的研究队伍。</w:t>
      </w:r>
    </w:p>
    <w:p>
      <w:pPr>
        <w:widowControl/>
        <w:shd w:val="clear" w:color="auto" w:fill="FFFFFF"/>
        <w:spacing w:line="360" w:lineRule="auto"/>
        <w:ind w:firstLine="420"/>
        <w:jc w:val="left"/>
        <w:rPr>
          <w:rFonts w:ascii="宋体" w:hAnsi="宋体"/>
          <w:b/>
          <w:spacing w:val="-4"/>
          <w:sz w:val="28"/>
          <w:szCs w:val="28"/>
        </w:rPr>
      </w:pPr>
      <w:r>
        <w:rPr>
          <w:rFonts w:hint="eastAsia" w:ascii="宋体" w:hAnsi="宋体"/>
          <w:b/>
          <w:spacing w:val="-4"/>
          <w:sz w:val="28"/>
          <w:szCs w:val="28"/>
        </w:rPr>
        <w:t>（三）知识产权工作</w:t>
      </w:r>
    </w:p>
    <w:p>
      <w:pPr>
        <w:widowControl/>
        <w:shd w:val="clear" w:color="auto" w:fill="FFFFFF"/>
        <w:spacing w:line="360" w:lineRule="auto"/>
        <w:ind w:firstLine="420"/>
        <w:jc w:val="left"/>
        <w:rPr>
          <w:rFonts w:ascii="宋体" w:hAnsi="宋体"/>
          <w:color w:val="FF0000"/>
          <w:spacing w:val="-4"/>
          <w:sz w:val="28"/>
          <w:szCs w:val="28"/>
        </w:rPr>
      </w:pPr>
      <w:commentRangeStart w:id="2"/>
      <w:r>
        <w:rPr>
          <w:rFonts w:hint="eastAsia" w:ascii="宋体" w:hAnsi="宋体"/>
          <w:color w:val="00B0F0"/>
          <w:spacing w:val="-4"/>
          <w:sz w:val="28"/>
          <w:szCs w:val="28"/>
        </w:rPr>
        <w:t>公司至今累计拥有有效授权专利3</w:t>
      </w:r>
      <w:r>
        <w:rPr>
          <w:rFonts w:hint="eastAsia" w:ascii="宋体" w:hAnsi="宋体"/>
          <w:color w:val="00B0F0"/>
          <w:spacing w:val="-4"/>
          <w:sz w:val="28"/>
          <w:szCs w:val="28"/>
          <w:lang w:val="en-US" w:eastAsia="zh-CN"/>
        </w:rPr>
        <w:t>2</w:t>
      </w:r>
      <w:r>
        <w:rPr>
          <w:rFonts w:hint="eastAsia" w:ascii="宋体" w:hAnsi="宋体"/>
          <w:color w:val="00B0F0"/>
          <w:spacing w:val="-4"/>
          <w:sz w:val="28"/>
          <w:szCs w:val="28"/>
        </w:rPr>
        <w:t>件（发明专利1</w:t>
      </w:r>
      <w:r>
        <w:rPr>
          <w:rFonts w:hint="eastAsia" w:ascii="宋体" w:hAnsi="宋体"/>
          <w:color w:val="00B0F0"/>
          <w:spacing w:val="-4"/>
          <w:sz w:val="28"/>
          <w:szCs w:val="28"/>
          <w:lang w:val="en-US" w:eastAsia="zh-CN"/>
        </w:rPr>
        <w:t>2</w:t>
      </w:r>
      <w:r>
        <w:rPr>
          <w:rFonts w:hint="eastAsia" w:ascii="宋体" w:hAnsi="宋体"/>
          <w:color w:val="00B0F0"/>
          <w:spacing w:val="-4"/>
          <w:sz w:val="28"/>
          <w:szCs w:val="28"/>
        </w:rPr>
        <w:t>件，实用新型2</w:t>
      </w:r>
      <w:r>
        <w:rPr>
          <w:rFonts w:hint="eastAsia" w:ascii="宋体" w:hAnsi="宋体"/>
          <w:color w:val="00B0F0"/>
          <w:spacing w:val="-4"/>
          <w:sz w:val="28"/>
          <w:szCs w:val="28"/>
          <w:lang w:val="en-US" w:eastAsia="zh-CN"/>
        </w:rPr>
        <w:t>0</w:t>
      </w:r>
      <w:r>
        <w:rPr>
          <w:rFonts w:hint="eastAsia" w:ascii="宋体" w:hAnsi="宋体"/>
          <w:color w:val="00B0F0"/>
          <w:spacing w:val="-4"/>
          <w:sz w:val="28"/>
          <w:szCs w:val="28"/>
        </w:rPr>
        <w:t>件）。</w:t>
      </w:r>
      <w:r>
        <w:rPr>
          <w:rFonts w:hint="eastAsia" w:ascii="宋体" w:hAnsi="宋体"/>
          <w:color w:val="FF0000"/>
          <w:spacing w:val="-4"/>
          <w:sz w:val="28"/>
          <w:szCs w:val="28"/>
        </w:rPr>
        <w:t>2020年新申报发明专</w:t>
      </w:r>
      <w:r>
        <w:rPr>
          <w:rFonts w:hint="eastAsia" w:ascii="宋体" w:hAnsi="宋体"/>
          <w:color w:val="FF0000"/>
          <w:spacing w:val="-4"/>
          <w:sz w:val="28"/>
          <w:szCs w:val="28"/>
          <w:lang w:eastAsia="zh-CN"/>
        </w:rPr>
        <w:t>利</w:t>
      </w:r>
      <w:r>
        <w:rPr>
          <w:rFonts w:hint="eastAsia" w:ascii="宋体" w:hAnsi="宋体"/>
          <w:color w:val="FF0000"/>
          <w:spacing w:val="-4"/>
          <w:sz w:val="28"/>
          <w:szCs w:val="28"/>
        </w:rPr>
        <w:t>3件，实用新型专利6件。公司拥有中国驰名商标一个。</w:t>
      </w:r>
      <w:commentRangeEnd w:id="2"/>
      <w:r>
        <w:rPr>
          <w:rStyle w:val="22"/>
          <w:color w:val="FF0000"/>
          <w:sz w:val="28"/>
          <w:szCs w:val="28"/>
        </w:rPr>
        <w:commentReference w:id="2"/>
      </w:r>
    </w:p>
    <w:p>
      <w:pPr>
        <w:pStyle w:val="3"/>
      </w:pPr>
      <w:bookmarkStart w:id="13" w:name="_Toc38876051"/>
      <w:r>
        <w:rPr>
          <w:rFonts w:hint="eastAsia"/>
        </w:rPr>
        <w:t>五、信用建设</w:t>
      </w:r>
      <w:bookmarkEnd w:id="13"/>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一直将信用管理工作作为公司日常管理的一项重要工作内容坚持开展，在市场经济日益发达的现代社会，我们深知“守合同重信用”是企业生存发展之本，企业的信用资质已成为企业在市场竞争中不可或缺的重要标签。公司始终坚持以诚为本，以信迎客，得到了广大客户的积极评价和充分信赖。公司企业资信等级AA。荣获“江苏省信用贯标企业”荣誉称号。</w:t>
      </w:r>
    </w:p>
    <w:p>
      <w:pPr>
        <w:pStyle w:val="3"/>
      </w:pPr>
      <w:bookmarkStart w:id="14" w:name="_Toc38876052"/>
      <w:r>
        <w:rPr>
          <w:rFonts w:hint="eastAsia"/>
        </w:rPr>
        <w:t>六、环保节约</w:t>
      </w:r>
      <w:bookmarkEnd w:id="14"/>
    </w:p>
    <w:p>
      <w:pPr>
        <w:pStyle w:val="4"/>
      </w:pPr>
      <w:bookmarkStart w:id="15" w:name="_Toc38876053"/>
      <w:r>
        <w:rPr>
          <w:rFonts w:hint="eastAsia"/>
        </w:rPr>
        <w:t>1、环境管理</w:t>
      </w:r>
      <w:bookmarkEnd w:id="15"/>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于通过了ISO14000环境管理体系认证，和ISO28001职业健康安全管理体系，增强了环境管理和员工职业健康安全的管理能力。建立专门的管理机构，健全完善环境管理制度并纳入正常管理，记录环保设施的运行数据并建立环保档案。建立和完善环境污染事故应急预案，并定期组织演练。加强生产技术和设备管理，充分利用好各种资源、能源，提高原料、能源利用率，不产生或少产生废弃物。凡是通过检修、更换设备能够解决污染问题的，要及时停产检修、更换设备。对重要环境因素和不可接收危险源点进行重点管控，遵纪守法，全年无安全、环保事故的发生。</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公司2015年通过了ISO14064-1认证，对组织边界的温室气体排放进行了量化，并向社会公布。</w:t>
      </w:r>
    </w:p>
    <w:p>
      <w:pPr>
        <w:pStyle w:val="4"/>
      </w:pPr>
      <w:bookmarkStart w:id="16" w:name="_Toc38876054"/>
      <w:r>
        <w:rPr>
          <w:rFonts w:hint="eastAsia"/>
        </w:rPr>
        <w:t>2、资源节约与综合利用</w:t>
      </w:r>
      <w:bookmarkEnd w:id="16"/>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坚决杜绝资源浪费现象。对生产过程中产生的边角料进行回收再利用，大大降低了原材料的消耗量。此外，2018-2019年公司也不断改进生产和加工工艺，全员推进QC小组降本节耗活动，在提高生产效率的同时减少能源损耗</w:t>
      </w:r>
      <w:r>
        <w:rPr>
          <w:rFonts w:hint="eastAsia" w:ascii="宋体" w:hAnsi="宋体"/>
          <w:sz w:val="28"/>
          <w:szCs w:val="28"/>
        </w:rPr>
        <w:t>，如公司实施热量回收利用，减少电量消耗。</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公司对供应商进行考核，优先采购通过环境管理体系认证的供方提供的物料，优先采购绿色物料，履行环保社会责任。</w:t>
      </w:r>
    </w:p>
    <w:p>
      <w:pPr>
        <w:pStyle w:val="3"/>
      </w:pPr>
      <w:bookmarkStart w:id="17" w:name="_Toc38876055"/>
      <w:r>
        <w:rPr>
          <w:rFonts w:hint="eastAsia"/>
        </w:rPr>
        <w:t>七、安全生产</w:t>
      </w:r>
      <w:bookmarkEnd w:id="17"/>
    </w:p>
    <w:p>
      <w:pPr>
        <w:pStyle w:val="4"/>
      </w:pPr>
      <w:bookmarkStart w:id="18" w:name="_Toc38876056"/>
      <w:r>
        <w:rPr>
          <w:rFonts w:hint="eastAsia"/>
        </w:rPr>
        <w:t>1、安全生产管理</w:t>
      </w:r>
      <w:bookmarkEnd w:id="18"/>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本着“安全第一，预防为主”的安全生产方针。逐步推行现代安全管理，重视员工在作业中的安全和健康，成立有公司安全生产领导小组、明确有安全归口管理部门、配备有专兼职安全管理人员，安全生产管理网络健全，制定有各级安全生产责任制、安全生产管理制度，职能部门职责明确，并获得了江苏省安全生产监督管理局颁发的《安全生产标准化证书》。</w:t>
      </w:r>
    </w:p>
    <w:p>
      <w:pPr>
        <w:pStyle w:val="4"/>
      </w:pPr>
      <w:bookmarkStart w:id="19" w:name="_Toc38876057"/>
      <w:r>
        <w:rPr>
          <w:rFonts w:hint="eastAsia"/>
        </w:rPr>
        <w:t>2、安全生产投入</w:t>
      </w:r>
      <w:bookmarkEnd w:id="19"/>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根据国家法律法规要求制定并严格执行安全生产预算，制定应急预案并进行演练，组织实施安全改善项目。每年投入资金为员工提供所需要的安全资源，包括个人防护设备、劳动防护用品等，以预防职业伤害、疾病和事故，以及紧急情况处理。按着“加强管控、防范盗窃、人车分离”安全防范要求，实施“安全技防项目”，为保护企业财产安全、保护员工切身利益，维护企业正常经营管理秩序提供了技术保障，提升了企业安全管理水平。</w:t>
      </w:r>
    </w:p>
    <w:p>
      <w:pPr>
        <w:pStyle w:val="4"/>
      </w:pPr>
      <w:bookmarkStart w:id="20" w:name="_Toc38876058"/>
      <w:r>
        <w:rPr>
          <w:rFonts w:hint="eastAsia"/>
        </w:rPr>
        <w:t>3、安全生产教育和培训</w:t>
      </w:r>
      <w:bookmarkEnd w:id="20"/>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员工是企业最宝贵的财富，企业的发展离不开员工，我公司一直以来都把安全生产、职工劳动保护工作当作一切工作中的重中之重，切实维护职工的生命安全和职业健康。为进一步加强企业安全工作，营造“安全管理，人人有责”的良好氛围，树立安全为天的思想意识，2019年3月，公司工会联合相关部门举行了2019年“安全生产月”活动启动仪式，结合开展“‘安全生产月’安全知识教育、考核评比”活动，推动公司安全生产工作再上新台阶。此次活动坚持“安全隐患排查与治理”工作为主线，不断夯实安全基础，深入开展隐患排查治理和安全督查工作，宣传安全生产方针政策，结合公司开展的“优质优价”、“五大员”、“有效性计划管理”等活动，合理部署、整体推进，使安全生产管理深入人心，进一步提高全体干部职工的安全意识和责任意识，形成“安全生产，以人为本”的共识。</w:t>
      </w:r>
    </w:p>
    <w:p>
      <w:pPr>
        <w:pStyle w:val="3"/>
      </w:pPr>
      <w:bookmarkStart w:id="21" w:name="_Toc38876059"/>
      <w:r>
        <w:rPr>
          <w:rFonts w:hint="eastAsia"/>
        </w:rPr>
        <w:t>八、员工</w:t>
      </w:r>
      <w:bookmarkEnd w:id="21"/>
    </w:p>
    <w:p>
      <w:pPr>
        <w:pStyle w:val="4"/>
      </w:pPr>
      <w:bookmarkStart w:id="22" w:name="_Toc38876060"/>
      <w:r>
        <w:rPr>
          <w:rFonts w:hint="eastAsia"/>
        </w:rPr>
        <w:t>1、劳动合同与薪酬</w:t>
      </w:r>
      <w:bookmarkEnd w:id="22"/>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公司严格遵守、全面贯彻《中华人民共和国劳动合同法》等法律法规，遵循合法、公平、平等自愿的原则与员工签订书面劳动合同，依法进行劳动合同的履行、变更、解除和终止。劳动合同签约率 100%。公司制定公平合理的薪酬制度，按时足额支付员工薪酬。遵循企业经营效益与员工收入同步提升的原则，根据企业年度经营目标，结合本市颁布的工资增长指导线，比照同行业人工成本和劳动力市场工资指导价位，确定年度平均工资增长幅度。因生产经营需要，安排加班需征得员工同意，按国家劳动法律法规支付相关报酬。</w:t>
      </w:r>
    </w:p>
    <w:p>
      <w:pPr>
        <w:pStyle w:val="4"/>
      </w:pPr>
      <w:bookmarkStart w:id="23" w:name="_Toc38876061"/>
      <w:r>
        <w:rPr>
          <w:rFonts w:hint="eastAsia"/>
        </w:rPr>
        <w:t>2、社会保障</w:t>
      </w:r>
      <w:bookmarkEnd w:id="23"/>
    </w:p>
    <w:p>
      <w:pPr>
        <w:autoSpaceDN w:val="0"/>
        <w:spacing w:before="150" w:after="150" w:line="378" w:lineRule="atLeast"/>
        <w:ind w:firstLine="420"/>
        <w:rPr>
          <w:rFonts w:hint="eastAsia" w:ascii="宋体" w:hAnsi="宋体"/>
          <w:sz w:val="28"/>
          <w:szCs w:val="28"/>
        </w:rPr>
      </w:pPr>
      <w:r>
        <w:rPr>
          <w:rFonts w:hint="eastAsia" w:ascii="宋体" w:hAnsi="宋体"/>
          <w:sz w:val="28"/>
          <w:szCs w:val="28"/>
        </w:rPr>
        <w:t>公司依法为员工按时足额缴纳养老金、失业保险金、医疗保险金等社会保险。</w:t>
      </w:r>
    </w:p>
    <w:p>
      <w:pPr>
        <w:pStyle w:val="4"/>
      </w:pPr>
      <w:bookmarkStart w:id="24" w:name="_Toc38876062"/>
      <w:r>
        <w:rPr>
          <w:rFonts w:hint="eastAsia"/>
        </w:rPr>
        <w:t>3、员工福利</w:t>
      </w:r>
      <w:bookmarkEnd w:id="24"/>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为丰富员工的业余生活，公司也组织策划了各类型活动，如新春联谊会，拔河比赛、乒乓球比赛、羽毛球比赛等系列活动。并定期组织员工参加团建活动，活跃和丰富了员工业余生活，激发了员工学习热情，增强了大家的凝聚力，在公司形成了良好的学习氛围。</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东方滤袋对员工的责任是让全体员工安全、健康、快乐、富有。公司体现的是“家”文化。公司工会更是以关心员工生活，为群众办好事实事为已任，工会委员把关心做到“家”。公司工会每年会拿出一部分资金慰问在职和已退休的困难员工，认真了解员工的实际工作状况和所思所想所求，为员工排忧解难。为了更好地服务于职工，公司工会积极组织策划了一系列专题活动。如： “三八妇女节”组织女职工周边游；端午节、中秋节宴请外地大学生聚餐；邀请部分车间优秀班组参加自助餐晚会，公司每年都会不定期以这种形式宴请先进班组、先进员工。通过一系列活动的开展，让员工充分感受到公司的人文关怀，让“东方家文化”的观念深入员工心中。通过先进集体、先进个人和工会积极分子的评选表彰活动，宣传员工的优秀事迹，弘扬员工身上所体现的企业精神，并通过精神、理念、传统等无形的因素，陶冶员工的情操，培养员工群体意识和良好的共同习俗和道德风尚。</w:t>
      </w:r>
    </w:p>
    <w:p>
      <w:pPr>
        <w:pStyle w:val="4"/>
      </w:pPr>
      <w:bookmarkStart w:id="25" w:name="_Toc38876063"/>
      <w:r>
        <w:rPr>
          <w:rFonts w:hint="eastAsia"/>
        </w:rPr>
        <w:t>4、职业健康安全</w:t>
      </w:r>
      <w:bookmarkEnd w:id="25"/>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关注员工身心健康，进行全员健康普查。公司每年一次为员工进行健康普查，为女员工进行妇科检查。建立了员工健康电子档案。与此同时，积极开展职业健康宣传，利用发布预防疾病的信息和知识等综合手段，关心员工健康，减少疾病危害。</w:t>
      </w:r>
    </w:p>
    <w:p>
      <w:pPr>
        <w:pStyle w:val="4"/>
      </w:pPr>
      <w:bookmarkStart w:id="26" w:name="_Toc38876064"/>
      <w:r>
        <w:rPr>
          <w:rFonts w:hint="eastAsia"/>
        </w:rPr>
        <w:t>5、民主管理</w:t>
      </w:r>
      <w:bookmarkEnd w:id="26"/>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依法建立健全工会组织，维护员工权益。支持工会依法开展各项活动，定期和工会沟通，积极回应工会及其代表所投送的报告、建议及意见书等。工会主席参与涉及员工切身利益的规章制度的编制和讨论，并通过员工（代表）大会等途径审议确定。建立工资集体协商机制，针对相关的重大事项，如：工资调整机制、奖励性工资、加班工资、最低工资水平等进行平等协商；在各项涉及到员工利益的改革措施出台前，坚持召开员工代表大会以投票表决的形式予以通过后实施。公司全力支持员工参加工会，鼓励员工多途径参与民主管理。如：职代会制度，领导干部民主评议等。公司成立由党支部、工会和员工代表三方组成的劳动纠纷调解委员会，建立劳动纠纷调解的处理程序。</w:t>
      </w:r>
    </w:p>
    <w:p>
      <w:pPr>
        <w:pStyle w:val="4"/>
      </w:pPr>
      <w:bookmarkStart w:id="27" w:name="_Toc38876065"/>
      <w:r>
        <w:rPr>
          <w:rFonts w:hint="eastAsia"/>
        </w:rPr>
        <w:t>6、员工培训和发展</w:t>
      </w:r>
      <w:bookmarkEnd w:id="27"/>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开展全方位、多层次、系统性的教育培训。公司将培训内容分为学历培训、入职培训、专业培训、管理培训四种，将培训形式分为公开课、内部培训、内训、培训项目四种。公司实施个性化的员工学习与发展计划。针对管理员工，每年资助优秀员工进行学历培训。针对专业技术人员，邀请国内技术专家举办专题讲座，每年技术研究报告会等形式，将知识和经验进行传承。针对制造现场人员，对不同的职位开展一系列活动和培训，如上岗培训、班长培训、岗位技能培训、学历培训等等。</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2016年4月公司总经理张旭东同志被授予“江苏省工业企业质量管理优秀工作者”称号；2019年9月公司技术总监陶建平同志荣获2018年江苏省科技进步二等奖；此外，公司工会围绕“内强素质、外树形象”的中心思想，一方面通过黑板报、宣传栏等形式，教导员工树立紧迫感、危机感、责任感，充分调动员工的工作积极性和创造性；另一方面在公司内部组织各个车间、班组都进行各式各样的技能比赛，如：焊工、车工等劳动竞赛，并对优秀员工进行奖励。充分调动了员工进行专业生产、强化操作技能的积极性。2019年7月公司姜建勤同志被评为“全国优秀缝纫工”称号。</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近十年公司每年定期委派20人以上技术骨干培训、吸收和借鉴国外先进的技术和经验，使他们开阔眼界，增长见识。公司积极推荐参加“省市优秀拔尖技能人才”、“省、市劳模”等荣誉的评选，有多人获此荣誉，激发了他们创新热情和活力。</w:t>
      </w:r>
    </w:p>
    <w:p>
      <w:pPr>
        <w:pStyle w:val="3"/>
      </w:pPr>
      <w:bookmarkStart w:id="28" w:name="_Toc38876066"/>
      <w:r>
        <w:rPr>
          <w:rFonts w:hint="eastAsia"/>
        </w:rPr>
        <w:t>九、社会责任</w:t>
      </w:r>
      <w:bookmarkEnd w:id="28"/>
    </w:p>
    <w:p>
      <w:pPr>
        <w:spacing w:line="360" w:lineRule="auto"/>
        <w:outlineLvl w:val="1"/>
        <w:rPr>
          <w:rFonts w:ascii="宋体" w:hAnsi="宋体"/>
          <w:b/>
          <w:sz w:val="28"/>
          <w:szCs w:val="28"/>
        </w:rPr>
      </w:pPr>
      <w:bookmarkStart w:id="29" w:name="_Toc38875820"/>
      <w:bookmarkStart w:id="30" w:name="_Toc38876067"/>
      <w:r>
        <w:rPr>
          <w:rFonts w:hint="eastAsia" w:ascii="宋体" w:hAnsi="宋体"/>
          <w:b/>
          <w:sz w:val="28"/>
          <w:szCs w:val="28"/>
        </w:rPr>
        <w:t>提要</w:t>
      </w:r>
      <w:bookmarkEnd w:id="29"/>
      <w:bookmarkEnd w:id="30"/>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一个卓越企业既要考虑当前利益，更重要的是着眼长远可持续发展。而长远发展和持续经营，离不开社会的协同、和谐与发展。认真履行社会责任是不可小视的重要内容。东方滤袋在追求经济效益、保护投资方利益、不断发展的同时，积极履行公共责任及恪守道德规范，保护职工的合法权益，诚信对待供应商、客户，做到以公司的健康发展实现投资方、员工收益同步成长，让客户满意、社会放心，从而促进公司与社会的协调、和谐发展。</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承担的社会责任包括：公共责任、道德规范和自愿开展的公益支持三部分。</w:t>
      </w:r>
    </w:p>
    <w:p>
      <w:pPr>
        <w:spacing w:line="360" w:lineRule="auto"/>
        <w:outlineLvl w:val="1"/>
        <w:rPr>
          <w:rFonts w:ascii="宋体" w:hAnsi="宋体"/>
          <w:b/>
          <w:sz w:val="28"/>
          <w:szCs w:val="28"/>
        </w:rPr>
      </w:pPr>
      <w:bookmarkStart w:id="31" w:name="_Toc38875821"/>
      <w:bookmarkStart w:id="32" w:name="_Toc38876068"/>
      <w:r>
        <w:rPr>
          <w:rFonts w:hint="eastAsia" w:ascii="宋体" w:hAnsi="宋体"/>
          <w:b/>
          <w:sz w:val="28"/>
          <w:szCs w:val="28"/>
        </w:rPr>
        <w:t>1、公共责任</w:t>
      </w:r>
      <w:bookmarkEnd w:id="31"/>
      <w:bookmarkEnd w:id="32"/>
    </w:p>
    <w:p>
      <w:pPr>
        <w:spacing w:line="360" w:lineRule="auto"/>
        <w:ind w:firstLine="562" w:firstLineChars="200"/>
        <w:rPr>
          <w:rFonts w:ascii="宋体" w:hAnsi="宋体"/>
          <w:b/>
          <w:sz w:val="28"/>
          <w:szCs w:val="28"/>
        </w:rPr>
      </w:pPr>
      <w:r>
        <w:rPr>
          <w:rFonts w:hint="eastAsia" w:ascii="宋体" w:hAnsi="宋体"/>
          <w:b/>
          <w:sz w:val="28"/>
          <w:szCs w:val="28"/>
        </w:rPr>
        <w:t>（1）公司对质量安全、环境保护、能源节约和资源综合利用以及公共卫生等方面的社会影响，并采取预防、控制和改进措施。</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 xml:space="preserve">东方产品应用于钢铁、水泥、电力等行业，产品的质量与安全，其综合性能经得起最严苛的考验。    </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公司严格执行GBT19001/ISO9001 质量管理体系要求，GB/T24001/ISO14001环境管理体系和GB/T28001/OHSAS18001职业健康安全管理体系要求，公司制定了严密的质量安全防控体系，公司的产品经过充分设计论证、试验、检验、测试，才能投入正常生产运行。公司在积极推行安全体系标准化工作，获得了社会、员工、客户的广泛认可。</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着眼于高性能、节约环保型产品的开发，耐高温耐腐蚀过滤材料等系列产品，以优异的性能（寿命达到传统产品的1.5倍），为企业、为客户、为社会创造了较高的经济利益，同时大大降低了资源、能源消耗，成为了节能环保型产品的典范。公司的产品严格按照节能、环保的理念设计、制造，实现了内部涤纶、玻璃纤维短纤维100%回收利用，既降低了生产成本，同时实现了“0”排放。为企业、社会营造健康、环保、节约型社会环境做出了应有的贡献，得到了员工、客户、社会广泛认同。</w:t>
      </w:r>
    </w:p>
    <w:p>
      <w:pPr>
        <w:spacing w:line="360" w:lineRule="auto"/>
        <w:ind w:firstLine="562" w:firstLineChars="200"/>
        <w:rPr>
          <w:rFonts w:ascii="宋体" w:hAnsi="宋体"/>
          <w:b/>
          <w:sz w:val="28"/>
          <w:szCs w:val="28"/>
        </w:rPr>
      </w:pPr>
      <w:r>
        <w:rPr>
          <w:rFonts w:hint="eastAsia" w:ascii="宋体" w:hAnsi="宋体"/>
          <w:b/>
          <w:sz w:val="28"/>
          <w:szCs w:val="28"/>
        </w:rPr>
        <w:t>(2)主动预见公众对产品、服务和运营方面的隐忧，做出应对准备</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公司在应对公众对新建基础设施的环境安全的隐忧问题上，除了确保配套环境、安全设施的同时设计、同时施工、同时交付使用外；应对公众对突发事件的隐忧，还制定应急预案并进行定期演练。</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东方在办公楼设立了明确的消防、安全应急通道、安全指示牌、应急电源指示灯等；生产现场、作业区明确安全通道、护栏、各安全消防设施存放等标识；电器设备、起重设备、机械等设备明确的载荷、安全作业指标标识；设立了疏散、集合点等等；对产品的包装安全等作出了明确要求，杜绝和抵制使用损害生态环境的木质包装，推广安全、可重复使用以及可回收的钢结构包装方法等等。</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司准确把握法规、标准、政策走向及公众关注焦点，通过行业协会信息收集、专业研究机构咨询、开展公众调查等方法，组织分析论证，听取政府机构和行业专家的意见建议，找出目前关注的环保、节能、安全生产等方面问题，不断改进完善相应的对策和措施。并在打造舒适环境、创建国际一流的花园式工业企业方面，取得了显著效果。公司针对公众隐忧的原因分析及采取措施见表2。</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表2  公司针对公众隐忧的原因分析及采取措施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621"/>
        <w:gridCol w:w="5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2"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公共</w:t>
            </w:r>
          </w:p>
          <w:p>
            <w:pPr>
              <w:spacing w:line="240" w:lineRule="exact"/>
              <w:jc w:val="center"/>
              <w:rPr>
                <w:rFonts w:ascii="宋体" w:hAnsi="宋体"/>
                <w:b/>
                <w:bCs/>
                <w:szCs w:val="21"/>
              </w:rPr>
            </w:pPr>
            <w:r>
              <w:rPr>
                <w:rFonts w:hint="eastAsia" w:ascii="宋体" w:hAnsi="宋体"/>
                <w:b/>
                <w:bCs/>
                <w:szCs w:val="21"/>
              </w:rPr>
              <w:t>隐忧</w:t>
            </w:r>
          </w:p>
        </w:tc>
        <w:tc>
          <w:tcPr>
            <w:tcW w:w="1621"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产生原因</w:t>
            </w:r>
          </w:p>
        </w:tc>
        <w:tc>
          <w:tcPr>
            <w:tcW w:w="5757"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82"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产品安全</w:t>
            </w:r>
          </w:p>
        </w:tc>
        <w:tc>
          <w:tcPr>
            <w:tcW w:w="1621" w:type="dxa"/>
            <w:vAlign w:val="center"/>
          </w:tcPr>
          <w:p>
            <w:pPr>
              <w:spacing w:line="240" w:lineRule="exact"/>
              <w:rPr>
                <w:rFonts w:ascii="宋体" w:hAnsi="宋体"/>
                <w:szCs w:val="21"/>
              </w:rPr>
            </w:pPr>
            <w:r>
              <w:rPr>
                <w:rFonts w:hint="eastAsia" w:ascii="宋体" w:hAnsi="宋体"/>
                <w:szCs w:val="21"/>
              </w:rPr>
              <w:t>有害物质</w:t>
            </w:r>
          </w:p>
        </w:tc>
        <w:tc>
          <w:tcPr>
            <w:tcW w:w="5757" w:type="dxa"/>
            <w:vAlign w:val="center"/>
          </w:tcPr>
          <w:p>
            <w:pPr>
              <w:spacing w:line="240" w:lineRule="exact"/>
              <w:rPr>
                <w:rFonts w:ascii="宋体" w:hAnsi="宋体"/>
                <w:szCs w:val="21"/>
              </w:rPr>
            </w:pPr>
            <w:r>
              <w:rPr>
                <w:rFonts w:hint="eastAsia" w:ascii="宋体" w:hAnsi="宋体"/>
                <w:szCs w:val="21"/>
              </w:rPr>
              <w:t>杜绝使用有害身体健康、有害环境安全的物质和材料。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082"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环境</w:t>
            </w:r>
          </w:p>
          <w:p>
            <w:pPr>
              <w:spacing w:line="240" w:lineRule="exact"/>
              <w:jc w:val="center"/>
              <w:rPr>
                <w:rFonts w:ascii="宋体" w:hAnsi="宋体"/>
                <w:b/>
                <w:bCs/>
                <w:szCs w:val="21"/>
              </w:rPr>
            </w:pPr>
            <w:r>
              <w:rPr>
                <w:rFonts w:hint="eastAsia" w:ascii="宋体" w:hAnsi="宋体"/>
                <w:b/>
                <w:bCs/>
                <w:szCs w:val="21"/>
              </w:rPr>
              <w:t>污染</w:t>
            </w:r>
          </w:p>
        </w:tc>
        <w:tc>
          <w:tcPr>
            <w:tcW w:w="1621" w:type="dxa"/>
            <w:vAlign w:val="center"/>
          </w:tcPr>
          <w:p>
            <w:pPr>
              <w:spacing w:line="240" w:lineRule="exact"/>
              <w:rPr>
                <w:rFonts w:ascii="宋体" w:hAnsi="宋体"/>
                <w:szCs w:val="21"/>
              </w:rPr>
            </w:pPr>
            <w:r>
              <w:rPr>
                <w:rFonts w:hint="eastAsia" w:ascii="宋体" w:hAnsi="宋体"/>
                <w:szCs w:val="21"/>
              </w:rPr>
              <w:t>废水、废气、噪音、固体废弃物等会对周边环境带来污染。</w:t>
            </w:r>
          </w:p>
        </w:tc>
        <w:tc>
          <w:tcPr>
            <w:tcW w:w="5757" w:type="dxa"/>
            <w:vAlign w:val="center"/>
          </w:tcPr>
          <w:p>
            <w:pPr>
              <w:spacing w:line="240" w:lineRule="exact"/>
              <w:rPr>
                <w:rFonts w:ascii="宋体" w:hAnsi="宋体"/>
                <w:szCs w:val="21"/>
              </w:rPr>
            </w:pPr>
            <w:r>
              <w:rPr>
                <w:rFonts w:hint="eastAsia" w:ascii="宋体" w:hAnsi="宋体"/>
                <w:szCs w:val="21"/>
              </w:rPr>
              <w:t>对环境会带来污染的烟尘严格执行除尘系统净化达标后排放；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082"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能源消耗</w:t>
            </w:r>
          </w:p>
        </w:tc>
        <w:tc>
          <w:tcPr>
            <w:tcW w:w="1621" w:type="dxa"/>
            <w:vAlign w:val="center"/>
          </w:tcPr>
          <w:p>
            <w:pPr>
              <w:spacing w:line="240" w:lineRule="exact"/>
              <w:rPr>
                <w:rFonts w:ascii="宋体" w:hAnsi="宋体"/>
                <w:szCs w:val="21"/>
              </w:rPr>
            </w:pPr>
            <w:r>
              <w:rPr>
                <w:rFonts w:hint="eastAsia" w:ascii="宋体" w:hAnsi="宋体"/>
                <w:szCs w:val="21"/>
              </w:rPr>
              <w:t>水、电、天然气消耗。</w:t>
            </w:r>
          </w:p>
        </w:tc>
        <w:tc>
          <w:tcPr>
            <w:tcW w:w="5757" w:type="dxa"/>
            <w:vAlign w:val="center"/>
          </w:tcPr>
          <w:p>
            <w:pPr>
              <w:spacing w:line="240" w:lineRule="exact"/>
              <w:rPr>
                <w:rFonts w:ascii="宋体" w:hAnsi="宋体"/>
                <w:szCs w:val="21"/>
              </w:rPr>
            </w:pPr>
            <w:r>
              <w:rPr>
                <w:rFonts w:hint="eastAsia" w:ascii="宋体" w:hAnsi="宋体"/>
                <w:szCs w:val="21"/>
              </w:rPr>
              <w:t>严格杜绝跑、冒、滴漏现象，自觉抵制长明灯、无人灯，做到随用随开、随停随闭，响应国家峰谷用电政策。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82"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资源综合利用</w:t>
            </w:r>
          </w:p>
        </w:tc>
        <w:tc>
          <w:tcPr>
            <w:tcW w:w="1621" w:type="dxa"/>
            <w:vAlign w:val="center"/>
          </w:tcPr>
          <w:p>
            <w:pPr>
              <w:spacing w:line="240" w:lineRule="exact"/>
              <w:rPr>
                <w:rFonts w:ascii="宋体" w:hAnsi="宋体"/>
                <w:szCs w:val="21"/>
              </w:rPr>
            </w:pPr>
            <w:r>
              <w:rPr>
                <w:rFonts w:hint="eastAsia" w:ascii="宋体" w:hAnsi="宋体"/>
                <w:szCs w:val="21"/>
              </w:rPr>
              <w:t>资源紧缺</w:t>
            </w:r>
          </w:p>
        </w:tc>
        <w:tc>
          <w:tcPr>
            <w:tcW w:w="5757" w:type="dxa"/>
            <w:vAlign w:val="center"/>
          </w:tcPr>
          <w:p>
            <w:pPr>
              <w:spacing w:line="240" w:lineRule="exact"/>
              <w:rPr>
                <w:rFonts w:ascii="宋体" w:hAnsi="宋体"/>
                <w:szCs w:val="21"/>
              </w:rPr>
            </w:pPr>
            <w:r>
              <w:rPr>
                <w:rFonts w:hint="eastAsia" w:ascii="宋体" w:hAnsi="宋体"/>
                <w:szCs w:val="21"/>
              </w:rPr>
              <w:t>严格自产加工产品分类管理，做到废料100%回收利用。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082"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安全生产</w:t>
            </w:r>
          </w:p>
        </w:tc>
        <w:tc>
          <w:tcPr>
            <w:tcW w:w="1621" w:type="dxa"/>
            <w:vAlign w:val="center"/>
          </w:tcPr>
          <w:p>
            <w:pPr>
              <w:spacing w:line="240" w:lineRule="exact"/>
              <w:rPr>
                <w:rFonts w:ascii="宋体" w:hAnsi="宋体"/>
                <w:szCs w:val="21"/>
              </w:rPr>
            </w:pPr>
            <w:r>
              <w:rPr>
                <w:rFonts w:hint="eastAsia" w:ascii="宋体" w:hAnsi="宋体"/>
                <w:szCs w:val="21"/>
              </w:rPr>
              <w:t>火警、火灾事故会对周边居民生活带来影响。</w:t>
            </w:r>
          </w:p>
        </w:tc>
        <w:tc>
          <w:tcPr>
            <w:tcW w:w="5757" w:type="dxa"/>
            <w:vAlign w:val="center"/>
          </w:tcPr>
          <w:p>
            <w:pPr>
              <w:spacing w:line="240" w:lineRule="exact"/>
              <w:rPr>
                <w:rFonts w:ascii="宋体" w:hAnsi="宋体"/>
                <w:szCs w:val="21"/>
              </w:rPr>
            </w:pPr>
            <w:r>
              <w:rPr>
                <w:rFonts w:hint="eastAsia" w:ascii="宋体" w:hAnsi="宋体"/>
                <w:szCs w:val="21"/>
              </w:rPr>
              <w:t>安全生产以预防为主，从源头抓起，从制度层面到每一个作业环节，杜绝安全隐患源，从领导到员工人人关心安全，抵制不安全行为，杜绝安全事故发生。同时做到突发事件应急预案，实现事故为零。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082" w:type="dxa"/>
            <w:shd w:val="clear" w:color="auto" w:fill="D7D7D7"/>
            <w:vAlign w:val="center"/>
          </w:tcPr>
          <w:p>
            <w:pPr>
              <w:spacing w:line="240" w:lineRule="exact"/>
              <w:jc w:val="center"/>
              <w:rPr>
                <w:rFonts w:ascii="宋体" w:hAnsi="宋体"/>
                <w:b/>
                <w:bCs/>
                <w:szCs w:val="21"/>
              </w:rPr>
            </w:pPr>
            <w:r>
              <w:rPr>
                <w:rFonts w:hint="eastAsia" w:ascii="宋体" w:hAnsi="宋体"/>
                <w:b/>
                <w:bCs/>
                <w:szCs w:val="21"/>
              </w:rPr>
              <w:t>公共</w:t>
            </w:r>
          </w:p>
          <w:p>
            <w:pPr>
              <w:spacing w:line="240" w:lineRule="exact"/>
              <w:jc w:val="center"/>
              <w:rPr>
                <w:rFonts w:ascii="宋体" w:hAnsi="宋体"/>
                <w:b/>
                <w:bCs/>
                <w:szCs w:val="21"/>
              </w:rPr>
            </w:pPr>
            <w:r>
              <w:rPr>
                <w:rFonts w:hint="eastAsia" w:ascii="宋体" w:hAnsi="宋体"/>
                <w:b/>
                <w:bCs/>
                <w:szCs w:val="21"/>
              </w:rPr>
              <w:t>卫生</w:t>
            </w:r>
          </w:p>
        </w:tc>
        <w:tc>
          <w:tcPr>
            <w:tcW w:w="1621" w:type="dxa"/>
            <w:vAlign w:val="center"/>
          </w:tcPr>
          <w:p>
            <w:pPr>
              <w:spacing w:line="240" w:lineRule="exact"/>
              <w:rPr>
                <w:rFonts w:ascii="宋体" w:hAnsi="宋体"/>
                <w:szCs w:val="21"/>
              </w:rPr>
            </w:pPr>
            <w:r>
              <w:rPr>
                <w:rFonts w:hint="eastAsia" w:ascii="宋体" w:hAnsi="宋体"/>
                <w:szCs w:val="21"/>
              </w:rPr>
              <w:t>生活垃圾、固废等会影响员工健康与环境</w:t>
            </w:r>
          </w:p>
        </w:tc>
        <w:tc>
          <w:tcPr>
            <w:tcW w:w="5757" w:type="dxa"/>
            <w:vAlign w:val="center"/>
          </w:tcPr>
          <w:p>
            <w:pPr>
              <w:spacing w:line="240" w:lineRule="exact"/>
              <w:rPr>
                <w:rFonts w:ascii="宋体" w:hAnsi="宋体"/>
                <w:szCs w:val="21"/>
              </w:rPr>
            </w:pPr>
            <w:r>
              <w:rPr>
                <w:rFonts w:hint="eastAsia" w:ascii="宋体" w:hAnsi="宋体"/>
                <w:szCs w:val="21"/>
              </w:rPr>
              <w:t>推行自查自纠为主，环境卫生无死角，生活垃圾废弃物分类存放，HSE检查做到每天有检查、当天整改有提高，奖惩及时兑现；社会监督为辅，自觉接受社会监督，定期听取周边社区、政府部门意见，不断改进提高。</w:t>
            </w:r>
          </w:p>
        </w:tc>
      </w:tr>
    </w:tbl>
    <w:p>
      <w:pPr>
        <w:spacing w:line="360" w:lineRule="auto"/>
        <w:ind w:firstLine="560" w:firstLineChars="200"/>
        <w:rPr>
          <w:rFonts w:ascii="宋体" w:hAnsi="宋体"/>
          <w:sz w:val="28"/>
          <w:szCs w:val="28"/>
        </w:rPr>
      </w:pPr>
    </w:p>
    <w:p>
      <w:pPr>
        <w:spacing w:line="360" w:lineRule="auto"/>
        <w:ind w:firstLine="562" w:firstLineChars="200"/>
        <w:rPr>
          <w:rFonts w:ascii="宋体" w:hAnsi="宋体"/>
          <w:b/>
          <w:sz w:val="28"/>
          <w:szCs w:val="28"/>
        </w:rPr>
      </w:pPr>
      <w:r>
        <w:rPr>
          <w:rFonts w:hint="eastAsia" w:ascii="宋体" w:hAnsi="宋体"/>
          <w:b/>
          <w:sz w:val="28"/>
          <w:szCs w:val="28"/>
        </w:rPr>
        <w:t>(3)识别和评估相关风险，在合法合规的基础上持续提升</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东方高层将法律、法规作为必须条件和最低要求的同时，深刻认识到肩负的社会责任的意义，在识别和评估相关风险的基础上，建立遵循法律法规要求和应对相关风险的关键过程及绩效指标，制定预防、控制程序和改进方案，在持续改进的基础上达到更高水平。</w:t>
      </w:r>
    </w:p>
    <w:p>
      <w:pPr>
        <w:spacing w:line="360" w:lineRule="auto"/>
        <w:outlineLvl w:val="1"/>
        <w:rPr>
          <w:rFonts w:ascii="宋体" w:hAnsi="宋体"/>
          <w:spacing w:val="-4"/>
          <w:sz w:val="28"/>
          <w:szCs w:val="28"/>
        </w:rPr>
      </w:pPr>
      <w:bookmarkStart w:id="33" w:name="_Toc38875822"/>
      <w:bookmarkStart w:id="34" w:name="_Toc38876069"/>
      <w:r>
        <w:rPr>
          <w:rFonts w:hint="eastAsia" w:ascii="宋体" w:hAnsi="宋体"/>
          <w:spacing w:val="-4"/>
          <w:sz w:val="28"/>
          <w:szCs w:val="28"/>
        </w:rPr>
        <w:t>以节能减排、保护环境为例：东方在严格执行“环境影响评价”和环保“三同时”制度、严格执行各项环境保护法律法规，落实环保减排、节能降耗的有关政策的同时，主动加快产品结构调整。</w:t>
      </w:r>
      <w:bookmarkEnd w:id="33"/>
      <w:bookmarkEnd w:id="34"/>
    </w:p>
    <w:p>
      <w:pPr>
        <w:spacing w:line="360" w:lineRule="auto"/>
        <w:outlineLvl w:val="1"/>
        <w:rPr>
          <w:rFonts w:ascii="宋体" w:hAnsi="宋体"/>
          <w:b/>
          <w:sz w:val="28"/>
          <w:szCs w:val="28"/>
        </w:rPr>
      </w:pPr>
      <w:bookmarkStart w:id="35" w:name="_Toc38875823"/>
      <w:bookmarkStart w:id="36" w:name="_Toc38876070"/>
      <w:r>
        <w:rPr>
          <w:rFonts w:hint="eastAsia" w:ascii="宋体" w:hAnsi="宋体"/>
          <w:b/>
          <w:sz w:val="28"/>
          <w:szCs w:val="28"/>
        </w:rPr>
        <w:t>2、道德行为</w:t>
      </w:r>
      <w:bookmarkEnd w:id="35"/>
      <w:bookmarkEnd w:id="36"/>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企业道德行为是组织在决策、行动以及与利益相关方间交往活动中，遵守道德准则和职业操守的表现。从高层领导到一般员工都应遵守道德规范，并影响组织的利益相关方。</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东方高层领导从自身做起，秉承“敬业、奉献、诚信、守法、创新、务实、共赢”的价值观，在公司内外形成了良好的道德行为规范。公司建立并持续完善企业道德行为检测体系，规范管理、诚信对待顾客，公正对待供应商，形成从高层到基层、产业链由上游到下游一整套的评价体系，规范道德行为。</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(1)营造诚信守法经营环境</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诚信作为东方公司组织道德行为中的基本准则。高层领导率先垂范，在整个组织中倡导诚信、践行诚信。</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员工诚信守法的承诺：企业与所有员工签订劳动合同的同时，同时还签订了《基本行为规范承诺书》，对员工的职业道德、诚信守法、廉洁自律、保密等进行了严格规定。并在东方《企业道德行为规范监督检查与考核奖惩制度》中，对员工的诚信守法行为进行了规定：</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在员工或其他人发生违规、违纪，损害公司利益行为时，对举证举报者或利益维护人打击报复，造成人身、精神、财产等损害的，公司将对违规违纪者予以解除劳动关系，追究其造成损害的责任；</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因渎职或过失泄漏公司生产经营或商业技术机密者，视情节程度考核500-5000元／次，对故意者予以解除劳动关系，并要求赔偿公司的遭受的经济利益损失；</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利用工作职务之便以权谋私，假公济私，侵吞公司财产者，视情节程度予以解除劳动关系，并要求赔偿公司的遭受的经济利益损失；</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利用职权贪污受贿，向利益关联方索要好处，给予通报记过处理，没收收受的物品、礼券、现金等，并考核2倍于涉及金额，情节严重者予以解除劳动关系；</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对故意损坏公司重要文件或公物者，予以解除劳动关系，并要求赔偿公司的遭受的经济损失；</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对故意制造事故、工伤骗取赔偿，进行敲诈勒索者，予以解除劳动关系；</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使用虚假证件、资质，冒名顶替，隐瞒自身重要情况（如犯罪、吸毒、参与非法组织、患有严重疾病）的，一旦发现立即解除劳动关系；</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对道德败坏，通过威胁、诽谤、侮辱、调戏、骚扰等方式妨碍他人，给予通报记过处理外，考核200-500元／次，情节严重者予以解除劳动关系；</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对怂恿员工怠工或罢工，造谣惑众、恣意闹事、诋毁公司声誉者，予以解除劳动关系；</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对偷盗工厂物资者，处以2倍罚款，并予以解除劳动关系。对行为恶劣触犯法律的，提交公安司法部门处理；</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涉嫌违法犯罪的交司法部门追究法律责任。。</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供应商管理：公司在与供应商签订格式条款采购合同时，本着公平公正的原则，充分保障供应商和公司的合理利益。公司建立了严格的供应商评价制度，对新供应商的资质、诚信记录、质量等进行严格的审查。每年对所有供应商的诚信情况进行评估，对出现诚信问题的供应商予以淘汰或处罚。</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客户合同管理：公司对客户以诚信、公平、守法为原则，制订并认真执行《采购合同流程》，对涉及的商务、技术等相关条款由相关部门进行相应的技术和商务评审，并由对口分管领导签批，确保公司和客户的利益不受损害。</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(2)道德规范的监测</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企业日常运营中的道德行为主要表现为：企业内部对投资方、领导及员工负责；在企业间对供应商及合作伙伴负责；企业外部对客户、政府和社会负责。公司的道德行为融入了公司运营的每个环节，最终凝聚为公司的企业文化。</w:t>
      </w:r>
    </w:p>
    <w:p>
      <w:pPr>
        <w:pStyle w:val="27"/>
        <w:numPr>
          <w:ilvl w:val="0"/>
          <w:numId w:val="1"/>
        </w:numPr>
        <w:ind w:left="641" w:hanging="357" w:firstLineChars="0"/>
        <w:outlineLvl w:val="1"/>
        <w:rPr>
          <w:rFonts w:ascii="宋体" w:hAnsi="宋体"/>
          <w:b/>
          <w:sz w:val="28"/>
          <w:szCs w:val="28"/>
        </w:rPr>
      </w:pPr>
      <w:bookmarkStart w:id="37" w:name="_Toc38876071"/>
      <w:bookmarkStart w:id="38" w:name="_Toc38875824"/>
      <w:r>
        <w:rPr>
          <w:rFonts w:hint="eastAsia" w:ascii="宋体" w:hAnsi="宋体"/>
          <w:b/>
          <w:sz w:val="28"/>
          <w:szCs w:val="28"/>
        </w:rPr>
        <w:t>自愿开展公益支持：</w:t>
      </w:r>
      <w:bookmarkEnd w:id="37"/>
      <w:bookmarkEnd w:id="38"/>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公益支持是组织超越法规和道德承诺之外的社会责任，是组织在资源条件许可的条件下，提升在社会责任方面的成熟度，是成为卓越企业的表现机会和途径。</w:t>
      </w:r>
    </w:p>
    <w:p>
      <w:pPr>
        <w:widowControl/>
        <w:shd w:val="clear" w:color="auto" w:fill="FFFFFF"/>
        <w:spacing w:line="360" w:lineRule="auto"/>
        <w:ind w:firstLine="420"/>
        <w:jc w:val="left"/>
        <w:rPr>
          <w:rFonts w:ascii="宋体" w:hAnsi="宋体"/>
          <w:spacing w:val="-4"/>
          <w:sz w:val="28"/>
          <w:szCs w:val="28"/>
        </w:rPr>
      </w:pPr>
      <w:r>
        <w:rPr>
          <w:rFonts w:hint="eastAsia" w:ascii="宋体" w:hAnsi="宋体"/>
          <w:spacing w:val="-4"/>
          <w:sz w:val="28"/>
          <w:szCs w:val="28"/>
        </w:rPr>
        <w:t>东方在快速发展的同时，始终牢记回馈社会的责任，将爱心注入企业文化，用行动回馈社会。公司通过帮困扶贫、兴教办学、修桥铺路、慈善捐款、赈灾捐款等多种形式开展各类公益活动。近年来公司投入公益支持金额达220多万元。同时，公司领导高度重视帮助困难职工这一特殊群体。对少数特困家庭的员工和一些身患重病的员工，每年都给予补助，发放救助金，使全体员工感受到企业充满爱的氛围。在党员、干部的带头下，公司广大员工还充分发扬中华民族帮困济贫的优良传统，多次组织为突发天灾人祸的员工募集善款，解决他们燃眉之急。</w:t>
      </w:r>
    </w:p>
    <w:p>
      <w:pPr>
        <w:pStyle w:val="27"/>
        <w:spacing w:line="360" w:lineRule="auto"/>
        <w:ind w:left="644" w:firstLine="0" w:firstLineChars="0"/>
        <w:jc w:val="right"/>
        <w:rPr>
          <w:rFonts w:ascii="宋体" w:hAnsi="宋体"/>
          <w:b/>
          <w:sz w:val="28"/>
          <w:szCs w:val="28"/>
        </w:rPr>
      </w:pPr>
      <w:r>
        <w:rPr>
          <w:rFonts w:hint="eastAsia" w:ascii="宋体" w:hAnsi="宋体" w:cs="宋体"/>
          <w:b/>
          <w:sz w:val="28"/>
          <w:szCs w:val="28"/>
        </w:rPr>
        <w:t>2020年3月10日</w:t>
      </w: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hina" w:date="2020-04-26T20:55:00Z" w:initials="C">
    <w:p w14:paraId="2ADF5E21">
      <w:pPr>
        <w:pStyle w:val="6"/>
      </w:pPr>
    </w:p>
  </w:comment>
  <w:comment w:id="1" w:author="China" w:date="2020-04-26T21:39:00Z" w:initials="C">
    <w:p w14:paraId="48821A17">
      <w:pPr>
        <w:pStyle w:val="6"/>
      </w:pPr>
    </w:p>
  </w:comment>
  <w:comment w:id="2" w:author="China" w:date="2020-04-26T21:41:00Z" w:initials="C">
    <w:p w14:paraId="0E9C13BA">
      <w:pPr>
        <w:pStyle w:val="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DF5E21" w15:done="0"/>
  <w15:commentEx w15:paraId="48821A17" w15:done="0"/>
  <w15:commentEx w15:paraId="0E9C13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3121900"/>
      <w:docPartObj>
        <w:docPartGallery w:val="autotext"/>
      </w:docPartObj>
    </w:sdtPr>
    <w:sdtContent>
      <w:p>
        <w:pPr>
          <w:pStyle w:val="11"/>
          <w:jc w:val="center"/>
        </w:pPr>
        <w:r>
          <w:fldChar w:fldCharType="begin"/>
        </w:r>
        <w:r>
          <w:instrText xml:space="preserve">PAGE   \* MERGEFORMAT</w:instrText>
        </w:r>
        <w:r>
          <w:fldChar w:fldCharType="separate"/>
        </w:r>
        <w:r>
          <w:rPr>
            <w:lang w:val="zh-CN"/>
          </w:rPr>
          <w:t>3</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5E2E"/>
    <w:multiLevelType w:val="multilevel"/>
    <w:tmpl w:val="165F5E2E"/>
    <w:lvl w:ilvl="0" w:tentative="0">
      <w:start w:val="3"/>
      <w:numFmt w:val="decimal"/>
      <w:lvlText w:val="%1、"/>
      <w:lvlJc w:val="left"/>
      <w:pPr>
        <w:ind w:left="644" w:hanging="360"/>
      </w:pPr>
      <w:rPr>
        <w:rFonts w:hint="default"/>
      </w:rPr>
    </w:lvl>
    <w:lvl w:ilvl="1" w:tentative="0">
      <w:start w:val="1"/>
      <w:numFmt w:val="lowerLetter"/>
      <w:lvlText w:val="%2)"/>
      <w:lvlJc w:val="left"/>
      <w:pPr>
        <w:ind w:left="1344" w:hanging="420"/>
      </w:pPr>
    </w:lvl>
    <w:lvl w:ilvl="2" w:tentative="0">
      <w:start w:val="1"/>
      <w:numFmt w:val="lowerRoman"/>
      <w:lvlText w:val="%3."/>
      <w:lvlJc w:val="right"/>
      <w:pPr>
        <w:ind w:left="1764" w:hanging="420"/>
      </w:pPr>
    </w:lvl>
    <w:lvl w:ilvl="3" w:tentative="0">
      <w:start w:val="1"/>
      <w:numFmt w:val="decimal"/>
      <w:lvlText w:val="%4."/>
      <w:lvlJc w:val="left"/>
      <w:pPr>
        <w:ind w:left="2184" w:hanging="420"/>
      </w:pPr>
    </w:lvl>
    <w:lvl w:ilvl="4" w:tentative="0">
      <w:start w:val="1"/>
      <w:numFmt w:val="lowerLetter"/>
      <w:lvlText w:val="%5)"/>
      <w:lvlJc w:val="left"/>
      <w:pPr>
        <w:ind w:left="2604" w:hanging="420"/>
      </w:pPr>
    </w:lvl>
    <w:lvl w:ilvl="5" w:tentative="0">
      <w:start w:val="1"/>
      <w:numFmt w:val="lowerRoman"/>
      <w:lvlText w:val="%6."/>
      <w:lvlJc w:val="right"/>
      <w:pPr>
        <w:ind w:left="3024" w:hanging="420"/>
      </w:pPr>
    </w:lvl>
    <w:lvl w:ilvl="6" w:tentative="0">
      <w:start w:val="1"/>
      <w:numFmt w:val="decimal"/>
      <w:lvlText w:val="%7."/>
      <w:lvlJc w:val="left"/>
      <w:pPr>
        <w:ind w:left="3444" w:hanging="420"/>
      </w:pPr>
    </w:lvl>
    <w:lvl w:ilvl="7" w:tentative="0">
      <w:start w:val="1"/>
      <w:numFmt w:val="lowerLetter"/>
      <w:lvlText w:val="%8)"/>
      <w:lvlJc w:val="left"/>
      <w:pPr>
        <w:ind w:left="3864" w:hanging="420"/>
      </w:pPr>
    </w:lvl>
    <w:lvl w:ilvl="8" w:tentative="0">
      <w:start w:val="1"/>
      <w:numFmt w:val="lowerRoman"/>
      <w:lvlText w:val="%9."/>
      <w:lvlJc w:val="right"/>
      <w:pPr>
        <w:ind w:left="4284"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7F5"/>
    <w:rsid w:val="00035E93"/>
    <w:rsid w:val="00037858"/>
    <w:rsid w:val="00041287"/>
    <w:rsid w:val="00051CDC"/>
    <w:rsid w:val="000643BC"/>
    <w:rsid w:val="00064FFB"/>
    <w:rsid w:val="00067495"/>
    <w:rsid w:val="000959A1"/>
    <w:rsid w:val="000C44BF"/>
    <w:rsid w:val="000D46F1"/>
    <w:rsid w:val="000D6735"/>
    <w:rsid w:val="000E01E1"/>
    <w:rsid w:val="000E35B6"/>
    <w:rsid w:val="000E4A49"/>
    <w:rsid w:val="001027B9"/>
    <w:rsid w:val="00103E43"/>
    <w:rsid w:val="00133062"/>
    <w:rsid w:val="00135608"/>
    <w:rsid w:val="00142606"/>
    <w:rsid w:val="00147AC8"/>
    <w:rsid w:val="00151A4B"/>
    <w:rsid w:val="00152516"/>
    <w:rsid w:val="00172A27"/>
    <w:rsid w:val="0019082C"/>
    <w:rsid w:val="00191BA6"/>
    <w:rsid w:val="001A5033"/>
    <w:rsid w:val="001A5E8E"/>
    <w:rsid w:val="001A60C2"/>
    <w:rsid w:val="001D3495"/>
    <w:rsid w:val="001E4418"/>
    <w:rsid w:val="001E64B7"/>
    <w:rsid w:val="001F446E"/>
    <w:rsid w:val="00200861"/>
    <w:rsid w:val="002227DC"/>
    <w:rsid w:val="00225A05"/>
    <w:rsid w:val="00227494"/>
    <w:rsid w:val="00232BD4"/>
    <w:rsid w:val="00247D23"/>
    <w:rsid w:val="002531EF"/>
    <w:rsid w:val="00253CFE"/>
    <w:rsid w:val="00285497"/>
    <w:rsid w:val="002B1BD3"/>
    <w:rsid w:val="002C6D14"/>
    <w:rsid w:val="002E342F"/>
    <w:rsid w:val="002F5220"/>
    <w:rsid w:val="00302E0A"/>
    <w:rsid w:val="00303067"/>
    <w:rsid w:val="00324750"/>
    <w:rsid w:val="00350615"/>
    <w:rsid w:val="00356169"/>
    <w:rsid w:val="003703F0"/>
    <w:rsid w:val="00384CB3"/>
    <w:rsid w:val="00390D69"/>
    <w:rsid w:val="0039385D"/>
    <w:rsid w:val="00394BCB"/>
    <w:rsid w:val="003A179A"/>
    <w:rsid w:val="003A7DD9"/>
    <w:rsid w:val="003B31D4"/>
    <w:rsid w:val="003B74D4"/>
    <w:rsid w:val="003B7BE0"/>
    <w:rsid w:val="003C45CF"/>
    <w:rsid w:val="003D59A4"/>
    <w:rsid w:val="00432516"/>
    <w:rsid w:val="00433423"/>
    <w:rsid w:val="00434B85"/>
    <w:rsid w:val="00461811"/>
    <w:rsid w:val="004765AD"/>
    <w:rsid w:val="00490E6C"/>
    <w:rsid w:val="004943F1"/>
    <w:rsid w:val="004A6AB7"/>
    <w:rsid w:val="004B0BFD"/>
    <w:rsid w:val="004C38F6"/>
    <w:rsid w:val="004D29A4"/>
    <w:rsid w:val="004D62F8"/>
    <w:rsid w:val="005155E3"/>
    <w:rsid w:val="00516A7E"/>
    <w:rsid w:val="0052242F"/>
    <w:rsid w:val="00542CF0"/>
    <w:rsid w:val="00556C6E"/>
    <w:rsid w:val="00563799"/>
    <w:rsid w:val="00582869"/>
    <w:rsid w:val="00590DFA"/>
    <w:rsid w:val="005A541E"/>
    <w:rsid w:val="005A5A6B"/>
    <w:rsid w:val="005B458E"/>
    <w:rsid w:val="005B4887"/>
    <w:rsid w:val="005B5AFC"/>
    <w:rsid w:val="005C1391"/>
    <w:rsid w:val="006000FB"/>
    <w:rsid w:val="00602025"/>
    <w:rsid w:val="00613D7C"/>
    <w:rsid w:val="00613FDA"/>
    <w:rsid w:val="0063000C"/>
    <w:rsid w:val="00634C26"/>
    <w:rsid w:val="00637A47"/>
    <w:rsid w:val="00652903"/>
    <w:rsid w:val="006544E6"/>
    <w:rsid w:val="006856E1"/>
    <w:rsid w:val="00686118"/>
    <w:rsid w:val="006A2C76"/>
    <w:rsid w:val="006A40FC"/>
    <w:rsid w:val="006A4E28"/>
    <w:rsid w:val="006A6A51"/>
    <w:rsid w:val="006B250A"/>
    <w:rsid w:val="006B4018"/>
    <w:rsid w:val="006E369A"/>
    <w:rsid w:val="006F3C49"/>
    <w:rsid w:val="00705EE5"/>
    <w:rsid w:val="00747662"/>
    <w:rsid w:val="00760DBE"/>
    <w:rsid w:val="00762C1E"/>
    <w:rsid w:val="00764912"/>
    <w:rsid w:val="007977C6"/>
    <w:rsid w:val="007A1665"/>
    <w:rsid w:val="007A1FD7"/>
    <w:rsid w:val="007A43FE"/>
    <w:rsid w:val="007B33C3"/>
    <w:rsid w:val="007B43F3"/>
    <w:rsid w:val="007C4447"/>
    <w:rsid w:val="007D5C8F"/>
    <w:rsid w:val="007F0DC3"/>
    <w:rsid w:val="007F7D95"/>
    <w:rsid w:val="008053AC"/>
    <w:rsid w:val="0081215C"/>
    <w:rsid w:val="0081687F"/>
    <w:rsid w:val="00837439"/>
    <w:rsid w:val="00843ED9"/>
    <w:rsid w:val="00857D02"/>
    <w:rsid w:val="00882FEB"/>
    <w:rsid w:val="008A0D12"/>
    <w:rsid w:val="008C46CD"/>
    <w:rsid w:val="008D7C14"/>
    <w:rsid w:val="008F14D1"/>
    <w:rsid w:val="008F314B"/>
    <w:rsid w:val="00912E1C"/>
    <w:rsid w:val="009163BA"/>
    <w:rsid w:val="00920A7D"/>
    <w:rsid w:val="00920C1E"/>
    <w:rsid w:val="00960FE9"/>
    <w:rsid w:val="009628A1"/>
    <w:rsid w:val="00984CF9"/>
    <w:rsid w:val="00997340"/>
    <w:rsid w:val="009A03FE"/>
    <w:rsid w:val="009B5DB5"/>
    <w:rsid w:val="009D121A"/>
    <w:rsid w:val="009D6464"/>
    <w:rsid w:val="00A04819"/>
    <w:rsid w:val="00A16E16"/>
    <w:rsid w:val="00A46A54"/>
    <w:rsid w:val="00A54118"/>
    <w:rsid w:val="00A62DCD"/>
    <w:rsid w:val="00A674C2"/>
    <w:rsid w:val="00A73313"/>
    <w:rsid w:val="00A8087E"/>
    <w:rsid w:val="00A95833"/>
    <w:rsid w:val="00AA1FBB"/>
    <w:rsid w:val="00AC5BDA"/>
    <w:rsid w:val="00AD49F1"/>
    <w:rsid w:val="00AD52EA"/>
    <w:rsid w:val="00AE737D"/>
    <w:rsid w:val="00B22C73"/>
    <w:rsid w:val="00B23C46"/>
    <w:rsid w:val="00B57122"/>
    <w:rsid w:val="00B65F86"/>
    <w:rsid w:val="00B74DF4"/>
    <w:rsid w:val="00BD51C4"/>
    <w:rsid w:val="00BF5471"/>
    <w:rsid w:val="00C0023B"/>
    <w:rsid w:val="00C02AEB"/>
    <w:rsid w:val="00C30843"/>
    <w:rsid w:val="00C3594D"/>
    <w:rsid w:val="00C41373"/>
    <w:rsid w:val="00C721AE"/>
    <w:rsid w:val="00C97A50"/>
    <w:rsid w:val="00CA316B"/>
    <w:rsid w:val="00CC3906"/>
    <w:rsid w:val="00CC46E4"/>
    <w:rsid w:val="00CE301A"/>
    <w:rsid w:val="00D000F4"/>
    <w:rsid w:val="00D15EBD"/>
    <w:rsid w:val="00D54F4D"/>
    <w:rsid w:val="00D64F74"/>
    <w:rsid w:val="00D75496"/>
    <w:rsid w:val="00D80F1D"/>
    <w:rsid w:val="00D81325"/>
    <w:rsid w:val="00DA2300"/>
    <w:rsid w:val="00DB20A6"/>
    <w:rsid w:val="00DC427B"/>
    <w:rsid w:val="00DD3AEE"/>
    <w:rsid w:val="00DE50E1"/>
    <w:rsid w:val="00DF6E30"/>
    <w:rsid w:val="00E174F3"/>
    <w:rsid w:val="00E178FB"/>
    <w:rsid w:val="00E22409"/>
    <w:rsid w:val="00E31C8D"/>
    <w:rsid w:val="00E32F3C"/>
    <w:rsid w:val="00E4638E"/>
    <w:rsid w:val="00E47FE4"/>
    <w:rsid w:val="00E506C7"/>
    <w:rsid w:val="00E52B8E"/>
    <w:rsid w:val="00E576E5"/>
    <w:rsid w:val="00E84013"/>
    <w:rsid w:val="00E964CE"/>
    <w:rsid w:val="00EA00DB"/>
    <w:rsid w:val="00EB2680"/>
    <w:rsid w:val="00EB60DB"/>
    <w:rsid w:val="00EE27CD"/>
    <w:rsid w:val="00EE4699"/>
    <w:rsid w:val="00EF2AD6"/>
    <w:rsid w:val="00F036BF"/>
    <w:rsid w:val="00F06901"/>
    <w:rsid w:val="00F23E6E"/>
    <w:rsid w:val="00F240BA"/>
    <w:rsid w:val="00F36A52"/>
    <w:rsid w:val="00F441DF"/>
    <w:rsid w:val="00F45487"/>
    <w:rsid w:val="00F46F4A"/>
    <w:rsid w:val="00F65B57"/>
    <w:rsid w:val="00F91A3B"/>
    <w:rsid w:val="00FA27B5"/>
    <w:rsid w:val="00FE2EA2"/>
    <w:rsid w:val="00FF353E"/>
    <w:rsid w:val="030D7B32"/>
    <w:rsid w:val="05031828"/>
    <w:rsid w:val="19ED01D8"/>
    <w:rsid w:val="1C1753CE"/>
    <w:rsid w:val="2C5257AA"/>
    <w:rsid w:val="2E2D70FE"/>
    <w:rsid w:val="31EA15D5"/>
    <w:rsid w:val="327B5D58"/>
    <w:rsid w:val="4A9B5439"/>
    <w:rsid w:val="4D773393"/>
    <w:rsid w:val="4E0955AB"/>
    <w:rsid w:val="55B13987"/>
    <w:rsid w:val="59E4605B"/>
    <w:rsid w:val="5E4965B3"/>
    <w:rsid w:val="64E37885"/>
    <w:rsid w:val="69B95B93"/>
    <w:rsid w:val="74A87338"/>
    <w:rsid w:val="79B97E53"/>
    <w:rsid w:val="7C1C1D49"/>
    <w:rsid w:val="7E6070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5"/>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23"/>
    <w:qFormat/>
    <w:uiPriority w:val="0"/>
    <w:pPr>
      <w:keepNext/>
      <w:keepLines/>
      <w:spacing w:before="260" w:after="260" w:line="413" w:lineRule="auto"/>
      <w:outlineLvl w:val="2"/>
    </w:pPr>
    <w:rPr>
      <w:b/>
      <w:sz w:val="32"/>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annotation text"/>
    <w:basedOn w:val="1"/>
    <w:link w:val="30"/>
    <w:semiHidden/>
    <w:unhideWhenUsed/>
    <w:qFormat/>
    <w:uiPriority w:val="99"/>
    <w:pPr>
      <w:jc w:val="left"/>
    </w:pPr>
  </w:style>
  <w:style w:type="paragraph" w:styleId="7">
    <w:name w:val="toc 5"/>
    <w:basedOn w:val="1"/>
    <w:next w:val="1"/>
    <w:qFormat/>
    <w:uiPriority w:val="0"/>
    <w:pPr>
      <w:ind w:left="1680" w:leftChars="800"/>
    </w:pPr>
  </w:style>
  <w:style w:type="paragraph" w:styleId="8">
    <w:name w:val="toc 3"/>
    <w:basedOn w:val="1"/>
    <w:next w:val="1"/>
    <w:qFormat/>
    <w:uiPriority w:val="39"/>
    <w:pPr>
      <w:ind w:left="840" w:leftChars="400"/>
    </w:pPr>
  </w:style>
  <w:style w:type="paragraph" w:styleId="9">
    <w:name w:val="toc 8"/>
    <w:basedOn w:val="1"/>
    <w:next w:val="1"/>
    <w:qFormat/>
    <w:uiPriority w:val="0"/>
    <w:pPr>
      <w:ind w:left="2940" w:leftChars="1400"/>
    </w:pPr>
  </w:style>
  <w:style w:type="paragraph" w:styleId="10">
    <w:name w:val="Balloon Text"/>
    <w:basedOn w:val="1"/>
    <w:link w:val="24"/>
    <w:unhideWhenUsed/>
    <w:qFormat/>
    <w:uiPriority w:val="99"/>
    <w:rPr>
      <w:sz w:val="18"/>
      <w:szCs w:val="18"/>
    </w:rPr>
  </w:style>
  <w:style w:type="paragraph" w:styleId="11">
    <w:name w:val="footer"/>
    <w:basedOn w:val="1"/>
    <w:link w:val="32"/>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rPr>
      <w:b/>
    </w:rPr>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39"/>
    <w:pPr>
      <w:ind w:left="420" w:leftChars="200"/>
    </w:pPr>
  </w:style>
  <w:style w:type="paragraph" w:styleId="17">
    <w:name w:val="toc 9"/>
    <w:basedOn w:val="1"/>
    <w:next w:val="1"/>
    <w:qFormat/>
    <w:uiPriority w:val="0"/>
    <w:pPr>
      <w:ind w:left="3360" w:leftChars="1600"/>
    </w:pPr>
  </w:style>
  <w:style w:type="paragraph" w:styleId="18">
    <w:name w:val="annotation subject"/>
    <w:basedOn w:val="6"/>
    <w:next w:val="6"/>
    <w:link w:val="31"/>
    <w:semiHidden/>
    <w:unhideWhenUsed/>
    <w:qFormat/>
    <w:uiPriority w:val="99"/>
    <w:rPr>
      <w:b/>
      <w:bCs/>
    </w:rPr>
  </w:style>
  <w:style w:type="character" w:styleId="21">
    <w:name w:val="Hyperlink"/>
    <w:unhideWhenUsed/>
    <w:qFormat/>
    <w:uiPriority w:val="99"/>
    <w:rPr>
      <w:color w:val="0563C1"/>
      <w:u w:val="single"/>
    </w:rPr>
  </w:style>
  <w:style w:type="character" w:styleId="22">
    <w:name w:val="annotation reference"/>
    <w:basedOn w:val="20"/>
    <w:semiHidden/>
    <w:unhideWhenUsed/>
    <w:qFormat/>
    <w:uiPriority w:val="99"/>
    <w:rPr>
      <w:sz w:val="21"/>
      <w:szCs w:val="21"/>
    </w:rPr>
  </w:style>
  <w:style w:type="character" w:customStyle="1" w:styleId="23">
    <w:name w:val="标题 3 Char"/>
    <w:link w:val="4"/>
    <w:qFormat/>
    <w:uiPriority w:val="0"/>
    <w:rPr>
      <w:b/>
      <w:sz w:val="32"/>
    </w:rPr>
  </w:style>
  <w:style w:type="character" w:customStyle="1" w:styleId="24">
    <w:name w:val="批注框文本 Char"/>
    <w:basedOn w:val="20"/>
    <w:link w:val="10"/>
    <w:semiHidden/>
    <w:qFormat/>
    <w:uiPriority w:val="99"/>
    <w:rPr>
      <w:kern w:val="2"/>
      <w:sz w:val="18"/>
      <w:szCs w:val="18"/>
    </w:rPr>
  </w:style>
  <w:style w:type="character" w:customStyle="1" w:styleId="25">
    <w:name w:val="标题 2 Char"/>
    <w:basedOn w:val="20"/>
    <w:link w:val="3"/>
    <w:qFormat/>
    <w:uiPriority w:val="0"/>
    <w:rPr>
      <w:rFonts w:ascii="Arial" w:hAnsi="Arial" w:eastAsia="黑体"/>
      <w:b/>
      <w:kern w:val="2"/>
      <w:sz w:val="32"/>
    </w:rPr>
  </w:style>
  <w:style w:type="paragraph" w:customStyle="1" w:styleId="26">
    <w:name w:val="列出段落1"/>
    <w:basedOn w:val="1"/>
    <w:qFormat/>
    <w:uiPriority w:val="99"/>
    <w:pPr>
      <w:ind w:firstLine="420" w:firstLineChars="200"/>
    </w:pPr>
  </w:style>
  <w:style w:type="paragraph" w:styleId="27">
    <w:name w:val="List Paragraph"/>
    <w:basedOn w:val="1"/>
    <w:unhideWhenUsed/>
    <w:qFormat/>
    <w:uiPriority w:val="99"/>
    <w:pPr>
      <w:ind w:firstLine="420" w:firstLineChars="200"/>
    </w:pPr>
  </w:style>
  <w:style w:type="character" w:customStyle="1" w:styleId="28">
    <w:name w:val="font11"/>
    <w:basedOn w:val="20"/>
    <w:qFormat/>
    <w:uiPriority w:val="0"/>
    <w:rPr>
      <w:rFonts w:hint="default" w:ascii="Calibri" w:hAnsi="Calibri" w:cs="Calibri"/>
      <w:color w:val="000000"/>
      <w:sz w:val="20"/>
      <w:szCs w:val="20"/>
      <w:u w:val="none"/>
    </w:rPr>
  </w:style>
  <w:style w:type="character" w:customStyle="1" w:styleId="29">
    <w:name w:val="font31"/>
    <w:basedOn w:val="20"/>
    <w:qFormat/>
    <w:uiPriority w:val="0"/>
    <w:rPr>
      <w:rFonts w:hint="default" w:ascii="Times New Roman" w:hAnsi="Times New Roman" w:cs="Times New Roman"/>
      <w:b/>
      <w:color w:val="000000"/>
      <w:sz w:val="20"/>
      <w:szCs w:val="20"/>
      <w:u w:val="none"/>
    </w:rPr>
  </w:style>
  <w:style w:type="character" w:customStyle="1" w:styleId="30">
    <w:name w:val="批注文字 Char"/>
    <w:basedOn w:val="20"/>
    <w:link w:val="6"/>
    <w:semiHidden/>
    <w:uiPriority w:val="99"/>
    <w:rPr>
      <w:kern w:val="2"/>
      <w:sz w:val="21"/>
    </w:rPr>
  </w:style>
  <w:style w:type="character" w:customStyle="1" w:styleId="31">
    <w:name w:val="批注主题 Char"/>
    <w:basedOn w:val="30"/>
    <w:link w:val="18"/>
    <w:semiHidden/>
    <w:uiPriority w:val="99"/>
    <w:rPr>
      <w:b/>
      <w:bCs/>
      <w:kern w:val="2"/>
      <w:sz w:val="21"/>
    </w:rPr>
  </w:style>
  <w:style w:type="character" w:customStyle="1" w:styleId="32">
    <w:name w:val="页脚 Char"/>
    <w:basedOn w:val="20"/>
    <w:link w:val="11"/>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1098D-FCB6-482C-AEC0-F12A5BC1951F}">
  <ds:schemaRefs/>
</ds:datastoreItem>
</file>

<file path=docProps/app.xml><?xml version="1.0" encoding="utf-8"?>
<Properties xmlns="http://schemas.openxmlformats.org/officeDocument/2006/extended-properties" xmlns:vt="http://schemas.openxmlformats.org/officeDocument/2006/docPropsVTypes">
  <Template>Normal</Template>
  <Company>yzr</Company>
  <Pages>22</Pages>
  <Words>1675</Words>
  <Characters>9554</Characters>
  <Lines>79</Lines>
  <Paragraphs>22</Paragraphs>
  <TotalTime>1</TotalTime>
  <ScaleCrop>false</ScaleCrop>
  <LinksUpToDate>false</LinksUpToDate>
  <CharactersWithSpaces>11207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2018-08-15T13:55:00Z</dcterms:created>
  <dc:creator>user</dc:creator>
  <cp:lastModifiedBy>泡沫</cp:lastModifiedBy>
  <cp:lastPrinted>2018-08-15T13:55:00Z</cp:lastPrinted>
  <dcterms:modified xsi:type="dcterms:W3CDTF">2020-04-28T09:13:52Z</dcterms:modified>
  <dc:title>上能电气股份有限公司社会责任报告</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